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84" w:rsidRPr="00EA1C35" w:rsidRDefault="00EA1C35" w:rsidP="00EA1C35">
      <w:pPr>
        <w:ind w:right="46"/>
        <w:jc w:val="center"/>
        <w:rPr>
          <w:b/>
          <w:szCs w:val="28"/>
        </w:rPr>
      </w:pPr>
      <w:r w:rsidRPr="00EA1C35">
        <w:rPr>
          <w:b/>
          <w:szCs w:val="28"/>
        </w:rPr>
        <w:t>Комментарии Министерства экономики Свердловской области по</w:t>
      </w:r>
      <w:r>
        <w:rPr>
          <w:b/>
          <w:szCs w:val="28"/>
        </w:rPr>
        <w:t> </w:t>
      </w:r>
      <w:r w:rsidRPr="00EA1C35">
        <w:rPr>
          <w:b/>
          <w:szCs w:val="28"/>
        </w:rPr>
        <w:t xml:space="preserve">реализации отдельных </w:t>
      </w:r>
      <w:r w:rsidRPr="00EA1C35">
        <w:rPr>
          <w:b/>
        </w:rPr>
        <w:t>положений законодательства об ОРВ</w:t>
      </w:r>
    </w:p>
    <w:p w:rsidR="00415684" w:rsidRDefault="00415684" w:rsidP="00AD524B">
      <w:pPr>
        <w:ind w:right="46"/>
        <w:rPr>
          <w:szCs w:val="28"/>
        </w:rPr>
      </w:pPr>
    </w:p>
    <w:p w:rsidR="00415684" w:rsidRDefault="00415684" w:rsidP="00AD524B">
      <w:pPr>
        <w:ind w:right="46"/>
        <w:rPr>
          <w:szCs w:val="28"/>
        </w:rPr>
      </w:pPr>
    </w:p>
    <w:p w:rsidR="009212AE" w:rsidRDefault="00F979C3" w:rsidP="008B513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>В</w:t>
      </w:r>
      <w:r w:rsidR="00E15740">
        <w:rPr>
          <w:szCs w:val="28"/>
          <w:lang w:eastAsia="en-US"/>
        </w:rPr>
        <w:t xml:space="preserve"> процессе внедрения процедуры оценки регулирующего воздействия (далее – ОРВ) </w:t>
      </w:r>
      <w:r w:rsidR="00554096">
        <w:rPr>
          <w:szCs w:val="28"/>
          <w:lang w:eastAsia="en-US"/>
        </w:rPr>
        <w:t>от</w:t>
      </w:r>
      <w:r w:rsidR="00EA1C35">
        <w:rPr>
          <w:szCs w:val="28"/>
          <w:lang w:eastAsia="en-US"/>
        </w:rPr>
        <w:t xml:space="preserve"> муниципальных образований</w:t>
      </w:r>
      <w:r w:rsidR="00E15740">
        <w:rPr>
          <w:szCs w:val="28"/>
          <w:lang w:eastAsia="en-US"/>
        </w:rPr>
        <w:t xml:space="preserve"> Свердловской области</w:t>
      </w:r>
      <w:r>
        <w:rPr>
          <w:szCs w:val="28"/>
          <w:lang w:eastAsia="en-US"/>
        </w:rPr>
        <w:t xml:space="preserve"> </w:t>
      </w:r>
      <w:r w:rsidR="00E15740">
        <w:rPr>
          <w:szCs w:val="28"/>
          <w:lang w:eastAsia="en-US"/>
        </w:rPr>
        <w:t>в Министерство</w:t>
      </w:r>
      <w:r w:rsidR="00434C42">
        <w:rPr>
          <w:szCs w:val="28"/>
          <w:lang w:eastAsia="en-US"/>
        </w:rPr>
        <w:t xml:space="preserve"> экономики Свердловской области</w:t>
      </w:r>
      <w:r w:rsidR="004238EF">
        <w:rPr>
          <w:szCs w:val="28"/>
          <w:lang w:eastAsia="en-US"/>
        </w:rPr>
        <w:t xml:space="preserve"> </w:t>
      </w:r>
      <w:r w:rsidR="00913DA4">
        <w:rPr>
          <w:szCs w:val="28"/>
          <w:lang w:eastAsia="en-US"/>
        </w:rPr>
        <w:t>направл</w:t>
      </w:r>
      <w:r w:rsidR="00EA1C35">
        <w:rPr>
          <w:szCs w:val="28"/>
          <w:lang w:eastAsia="en-US"/>
        </w:rPr>
        <w:t>яется ряд вопросов</w:t>
      </w:r>
      <w:r w:rsidR="004238EF">
        <w:rPr>
          <w:szCs w:val="28"/>
          <w:lang w:eastAsia="en-US"/>
        </w:rPr>
        <w:t xml:space="preserve">, вызывающих затруднения </w:t>
      </w:r>
      <w:r w:rsidR="00434C42">
        <w:rPr>
          <w:szCs w:val="28"/>
          <w:lang w:eastAsia="en-US"/>
        </w:rPr>
        <w:t>при практической реализации процедур ОРВ</w:t>
      </w:r>
      <w:r w:rsidR="004238EF">
        <w:rPr>
          <w:szCs w:val="28"/>
          <w:lang w:eastAsia="en-US"/>
        </w:rPr>
        <w:t xml:space="preserve">. </w:t>
      </w:r>
    </w:p>
    <w:p w:rsidR="006C03B8" w:rsidRDefault="00434C42" w:rsidP="008B513D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  <w:r>
        <w:rPr>
          <w:szCs w:val="28"/>
          <w:lang w:eastAsia="en-US"/>
        </w:rPr>
        <w:t xml:space="preserve">Направляем </w:t>
      </w:r>
      <w:r w:rsidR="00C2144E">
        <w:rPr>
          <w:szCs w:val="28"/>
          <w:lang w:eastAsia="en-US"/>
        </w:rPr>
        <w:t>комментарии</w:t>
      </w:r>
      <w:r w:rsidR="004238EF">
        <w:rPr>
          <w:szCs w:val="28"/>
          <w:lang w:eastAsia="en-US"/>
        </w:rPr>
        <w:t xml:space="preserve"> Министерства экономики Свердловской области</w:t>
      </w:r>
      <w:r w:rsidR="0086723E">
        <w:rPr>
          <w:szCs w:val="28"/>
          <w:lang w:eastAsia="en-US"/>
        </w:rPr>
        <w:t xml:space="preserve">, как уполномоченного органа в сфере </w:t>
      </w:r>
      <w:r w:rsidR="001D25E0">
        <w:rPr>
          <w:szCs w:val="28"/>
          <w:lang w:eastAsia="en-US"/>
        </w:rPr>
        <w:t>ОРВ, по</w:t>
      </w:r>
      <w:r w:rsidR="004238EF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реализации </w:t>
      </w:r>
      <w:r>
        <w:t xml:space="preserve">отдельных положений законодательства об ОРВ </w:t>
      </w:r>
      <w:r w:rsidR="00554096">
        <w:t xml:space="preserve">по </w:t>
      </w:r>
      <w:r>
        <w:t>следующи</w:t>
      </w:r>
      <w:r w:rsidR="00554096">
        <w:t>м типовым</w:t>
      </w:r>
      <w:r>
        <w:t xml:space="preserve"> вопросам</w:t>
      </w:r>
      <w:r w:rsidR="0086723E">
        <w:rPr>
          <w:szCs w:val="28"/>
          <w:lang w:eastAsia="en-US"/>
        </w:rPr>
        <w:t>.</w:t>
      </w:r>
    </w:p>
    <w:p w:rsidR="0086723E" w:rsidRPr="00DA020E" w:rsidRDefault="0086723E" w:rsidP="008B513D">
      <w:pPr>
        <w:overflowPunct/>
        <w:autoSpaceDE/>
        <w:autoSpaceDN/>
        <w:adjustRightInd/>
        <w:ind w:firstLine="709"/>
        <w:jc w:val="both"/>
        <w:textAlignment w:val="auto"/>
        <w:rPr>
          <w:i/>
          <w:szCs w:val="28"/>
          <w:lang w:eastAsia="en-US"/>
        </w:rPr>
      </w:pPr>
      <w:r w:rsidRPr="00A209EE">
        <w:rPr>
          <w:szCs w:val="28"/>
          <w:lang w:eastAsia="en-US"/>
        </w:rPr>
        <w:t>1.</w:t>
      </w:r>
      <w:r w:rsidRPr="00A209EE">
        <w:rPr>
          <w:szCs w:val="28"/>
          <w:lang w:eastAsia="en-US"/>
        </w:rPr>
        <w:tab/>
      </w:r>
      <w:r w:rsidRPr="00A209EE">
        <w:rPr>
          <w:i/>
          <w:szCs w:val="28"/>
          <w:lang w:eastAsia="en-US"/>
        </w:rPr>
        <w:t>Подлежат ли НПА, устанавливающие, изменяющие, приостанавливающие, отменяющие местные налоги и сборы экспертизе?</w:t>
      </w:r>
    </w:p>
    <w:p w:rsidR="0086723E" w:rsidRDefault="0086723E" w:rsidP="00434C42">
      <w:pPr>
        <w:overflowPunct/>
        <w:autoSpaceDE/>
        <w:autoSpaceDN/>
        <w:adjustRightInd/>
        <w:ind w:firstLine="709"/>
        <w:jc w:val="both"/>
        <w:textAlignment w:val="auto"/>
        <w:rPr>
          <w:iCs/>
        </w:rPr>
      </w:pPr>
      <w:r w:rsidRPr="00DA020E">
        <w:rPr>
          <w:b/>
          <w:iCs/>
        </w:rPr>
        <w:t>Комментарий:</w:t>
      </w:r>
      <w:r w:rsidR="00DA020E">
        <w:rPr>
          <w:b/>
          <w:iCs/>
        </w:rPr>
        <w:t xml:space="preserve"> </w:t>
      </w:r>
      <w:r w:rsidR="00DA020E" w:rsidRPr="00DA020E">
        <w:rPr>
          <w:iCs/>
        </w:rPr>
        <w:t xml:space="preserve">в соответствии с частью 2 пункта 6 статьи 7 </w:t>
      </w:r>
      <w:r w:rsidR="00DA020E" w:rsidRPr="00D17D1C">
        <w:rPr>
          <w:iCs/>
        </w:rPr>
        <w:t>Федеральн</w:t>
      </w:r>
      <w:r w:rsidR="00DA020E">
        <w:rPr>
          <w:iCs/>
        </w:rPr>
        <w:t>ого</w:t>
      </w:r>
      <w:r w:rsidR="00DA020E" w:rsidRPr="00D17D1C">
        <w:rPr>
          <w:iCs/>
        </w:rPr>
        <w:t xml:space="preserve"> закон</w:t>
      </w:r>
      <w:r w:rsidR="00DA020E">
        <w:rPr>
          <w:iCs/>
        </w:rPr>
        <w:t xml:space="preserve">а от 06 октября </w:t>
      </w:r>
      <w:r w:rsidR="00DA020E" w:rsidRPr="00D17D1C">
        <w:rPr>
          <w:iCs/>
        </w:rPr>
        <w:t>2003 N 131-ФЗ</w:t>
      </w:r>
      <w:r w:rsidR="00DA020E">
        <w:rPr>
          <w:iCs/>
        </w:rPr>
        <w:t xml:space="preserve"> «</w:t>
      </w:r>
      <w:r w:rsidR="00DA020E" w:rsidRPr="00D17D1C">
        <w:rPr>
          <w:iCs/>
        </w:rPr>
        <w:t>Об общих принципах организации местного самоуп</w:t>
      </w:r>
      <w:r w:rsidR="00DA020E">
        <w:rPr>
          <w:iCs/>
        </w:rPr>
        <w:t>равления в Российской Федерации» м</w:t>
      </w:r>
      <w:r w:rsidR="00DA020E" w:rsidRPr="00DA020E">
        <w:rPr>
          <w:iCs/>
        </w:rPr>
        <w:t>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841955" w:rsidRDefault="00841955" w:rsidP="00841955">
      <w:pPr>
        <w:overflowPunct/>
        <w:autoSpaceDE/>
        <w:autoSpaceDN/>
        <w:adjustRightInd/>
        <w:ind w:firstLine="709"/>
        <w:jc w:val="both"/>
        <w:textAlignment w:val="auto"/>
        <w:rPr>
          <w:iCs/>
        </w:rPr>
      </w:pPr>
      <w:r>
        <w:rPr>
          <w:iCs/>
        </w:rPr>
        <w:t xml:space="preserve">В соответствии с частью 2 статьи 2 </w:t>
      </w:r>
      <w:r w:rsidRPr="00841955">
        <w:rPr>
          <w:iCs/>
        </w:rPr>
        <w:t>Закон</w:t>
      </w:r>
      <w:r>
        <w:rPr>
          <w:iCs/>
        </w:rPr>
        <w:t xml:space="preserve">а Свердловской области от 14 июля </w:t>
      </w:r>
      <w:r w:rsidRPr="00841955">
        <w:rPr>
          <w:iCs/>
        </w:rPr>
        <w:t xml:space="preserve">2014 </w:t>
      </w:r>
      <w:r>
        <w:rPr>
          <w:iCs/>
        </w:rPr>
        <w:t>№</w:t>
      </w:r>
      <w:r w:rsidRPr="00841955">
        <w:rPr>
          <w:iCs/>
        </w:rPr>
        <w:t xml:space="preserve"> 74-ОЗ</w:t>
      </w:r>
      <w:r>
        <w:rPr>
          <w:iCs/>
        </w:rPr>
        <w:t xml:space="preserve"> «</w:t>
      </w:r>
      <w:r w:rsidRPr="00841955">
        <w:rPr>
          <w:iCs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>
        <w:rPr>
          <w:iCs/>
        </w:rPr>
        <w:t xml:space="preserve">ьных нормативных правовых актов» </w:t>
      </w:r>
      <w:r w:rsidRPr="00841955">
        <w:rPr>
          <w:iCs/>
        </w:rPr>
        <w:t>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</w:t>
      </w:r>
      <w:r>
        <w:rPr>
          <w:iCs/>
        </w:rPr>
        <w:t xml:space="preserve"> </w:t>
      </w:r>
      <w:r w:rsidRPr="00841955">
        <w:rPr>
          <w:iCs/>
        </w:rPr>
        <w:t>инвестиционной деятельности.</w:t>
      </w:r>
    </w:p>
    <w:p w:rsidR="00DA020E" w:rsidRPr="0086723E" w:rsidRDefault="00DA020E" w:rsidP="00434C42">
      <w:pPr>
        <w:overflowPunct/>
        <w:autoSpaceDE/>
        <w:autoSpaceDN/>
        <w:adjustRightInd/>
        <w:ind w:firstLine="709"/>
        <w:jc w:val="both"/>
        <w:textAlignment w:val="auto"/>
        <w:rPr>
          <w:b/>
          <w:iCs/>
        </w:rPr>
      </w:pPr>
      <w:r>
        <w:rPr>
          <w:iCs/>
        </w:rPr>
        <w:t xml:space="preserve">Таким образом, ограничения в предметной области проведения экспертизы не устанавливаются.  </w:t>
      </w:r>
    </w:p>
    <w:p w:rsidR="00E24650" w:rsidRPr="00434C42" w:rsidRDefault="0086723E" w:rsidP="00434C42">
      <w:pPr>
        <w:overflowPunct/>
        <w:autoSpaceDE/>
        <w:autoSpaceDN/>
        <w:adjustRightInd/>
        <w:ind w:firstLine="709"/>
        <w:jc w:val="both"/>
        <w:textAlignment w:val="auto"/>
        <w:rPr>
          <w:iCs/>
        </w:rPr>
      </w:pPr>
      <w:r>
        <w:rPr>
          <w:iCs/>
        </w:rPr>
        <w:t>2</w:t>
      </w:r>
      <w:r w:rsidR="00434C42" w:rsidRPr="00434C42">
        <w:rPr>
          <w:iCs/>
        </w:rPr>
        <w:t>.</w:t>
      </w:r>
      <w:r w:rsidR="00434C42">
        <w:rPr>
          <w:iCs/>
        </w:rPr>
        <w:t xml:space="preserve"> </w:t>
      </w:r>
      <w:r w:rsidR="00A43125" w:rsidRPr="00AE6248">
        <w:rPr>
          <w:i/>
          <w:iCs/>
        </w:rPr>
        <w:t xml:space="preserve">Подлежат ли ОРВ проекты НПА, регулирующие применение специального налогового режима </w:t>
      </w:r>
      <w:r w:rsidR="00A43125" w:rsidRPr="00AE6248">
        <w:rPr>
          <w:b/>
          <w:bCs/>
          <w:i/>
          <w:iCs/>
        </w:rPr>
        <w:t>ЕНВД</w:t>
      </w:r>
      <w:r w:rsidR="00A43125" w:rsidRPr="00AE6248">
        <w:rPr>
          <w:i/>
          <w:iCs/>
        </w:rPr>
        <w:t>, т.к. в соответствии с НК РФ ЕНВД не относится к местным налогам и сборам?</w:t>
      </w:r>
    </w:p>
    <w:p w:rsidR="0086723E" w:rsidRDefault="00434C42" w:rsidP="00D17D1C">
      <w:pPr>
        <w:overflowPunct/>
        <w:autoSpaceDE/>
        <w:autoSpaceDN/>
        <w:adjustRightInd/>
        <w:ind w:firstLine="709"/>
        <w:jc w:val="both"/>
        <w:textAlignment w:val="auto"/>
        <w:rPr>
          <w:iCs/>
        </w:rPr>
      </w:pPr>
      <w:r w:rsidRPr="0086723E">
        <w:rPr>
          <w:b/>
          <w:iCs/>
        </w:rPr>
        <w:t>Комментарий</w:t>
      </w:r>
      <w:r w:rsidR="000F5C0B" w:rsidRPr="0086723E">
        <w:rPr>
          <w:b/>
          <w:iCs/>
        </w:rPr>
        <w:t>:</w:t>
      </w:r>
      <w:r w:rsidR="000F5C0B">
        <w:rPr>
          <w:iCs/>
        </w:rPr>
        <w:t xml:space="preserve"> в</w:t>
      </w:r>
      <w:r w:rsidR="00D17D1C">
        <w:rPr>
          <w:iCs/>
        </w:rPr>
        <w:t xml:space="preserve"> соответствии с подпунктом 1 пункта 3 статьи 46 </w:t>
      </w:r>
      <w:r w:rsidR="00D17D1C" w:rsidRPr="00D17D1C">
        <w:rPr>
          <w:iCs/>
        </w:rPr>
        <w:t>Федеральн</w:t>
      </w:r>
      <w:r w:rsidR="00D17D1C">
        <w:rPr>
          <w:iCs/>
        </w:rPr>
        <w:t>ого</w:t>
      </w:r>
      <w:r w:rsidR="00D17D1C" w:rsidRPr="00D17D1C">
        <w:rPr>
          <w:iCs/>
        </w:rPr>
        <w:t xml:space="preserve"> закон</w:t>
      </w:r>
      <w:r w:rsidR="00D17D1C">
        <w:rPr>
          <w:iCs/>
        </w:rPr>
        <w:t xml:space="preserve">а от 06 октября </w:t>
      </w:r>
      <w:r w:rsidR="00D17D1C" w:rsidRPr="00D17D1C">
        <w:rPr>
          <w:iCs/>
        </w:rPr>
        <w:t xml:space="preserve">2003 </w:t>
      </w:r>
      <w:r w:rsidR="00E15740">
        <w:rPr>
          <w:iCs/>
        </w:rPr>
        <w:t>№</w:t>
      </w:r>
      <w:r w:rsidR="00D17D1C" w:rsidRPr="00D17D1C">
        <w:rPr>
          <w:iCs/>
        </w:rPr>
        <w:t xml:space="preserve"> 131-ФЗ</w:t>
      </w:r>
      <w:r w:rsidR="00D17D1C">
        <w:rPr>
          <w:iCs/>
        </w:rPr>
        <w:t xml:space="preserve"> «</w:t>
      </w:r>
      <w:r w:rsidR="00D17D1C" w:rsidRPr="00D17D1C">
        <w:rPr>
          <w:iCs/>
        </w:rPr>
        <w:t>Об общих принципах организации местного самоуп</w:t>
      </w:r>
      <w:r w:rsidR="00D17D1C">
        <w:rPr>
          <w:iCs/>
        </w:rPr>
        <w:t>равления в Российской Федерации»</w:t>
      </w:r>
      <w:r w:rsidR="00002AC3">
        <w:rPr>
          <w:iCs/>
        </w:rPr>
        <w:t xml:space="preserve"> ОРВ не проводится в отношении </w:t>
      </w:r>
      <w:r w:rsidR="00002AC3" w:rsidRPr="00002AC3">
        <w:rPr>
          <w:iCs/>
        </w:rPr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</w:t>
      </w:r>
      <w:r>
        <w:rPr>
          <w:iCs/>
        </w:rPr>
        <w:t xml:space="preserve">. </w:t>
      </w:r>
    </w:p>
    <w:p w:rsidR="00D17D1C" w:rsidRDefault="00434C42" w:rsidP="00D17D1C">
      <w:pPr>
        <w:overflowPunct/>
        <w:autoSpaceDE/>
        <w:autoSpaceDN/>
        <w:adjustRightInd/>
        <w:ind w:firstLine="709"/>
        <w:jc w:val="both"/>
        <w:textAlignment w:val="auto"/>
        <w:rPr>
          <w:iCs/>
        </w:rPr>
      </w:pPr>
      <w:r>
        <w:rPr>
          <w:iCs/>
        </w:rPr>
        <w:t xml:space="preserve">Учитывая, что </w:t>
      </w:r>
      <w:r w:rsidR="000D7E9E">
        <w:rPr>
          <w:iCs/>
        </w:rPr>
        <w:t xml:space="preserve">ЕНВД не </w:t>
      </w:r>
      <w:r w:rsidR="000D7E9E" w:rsidRPr="0033797A">
        <w:rPr>
          <w:iCs/>
        </w:rPr>
        <w:t>относится к местным налогам и сборам</w:t>
      </w:r>
      <w:r w:rsidR="000D7E9E">
        <w:rPr>
          <w:iCs/>
        </w:rPr>
        <w:t xml:space="preserve"> проведение ОРВ </w:t>
      </w:r>
      <w:r w:rsidR="000D7E9E" w:rsidRPr="00072D07">
        <w:rPr>
          <w:bCs/>
          <w:iCs/>
        </w:rPr>
        <w:t>необходимо.</w:t>
      </w:r>
    </w:p>
    <w:p w:rsidR="00FC1FC2" w:rsidRDefault="00AE6248" w:rsidP="00A93279">
      <w:pPr>
        <w:overflowPunct/>
        <w:autoSpaceDE/>
        <w:autoSpaceDN/>
        <w:adjustRightInd/>
        <w:ind w:firstLine="567"/>
        <w:jc w:val="both"/>
        <w:textAlignment w:val="auto"/>
        <w:rPr>
          <w:i/>
          <w:iCs/>
        </w:rPr>
      </w:pPr>
      <w:r>
        <w:rPr>
          <w:iCs/>
        </w:rPr>
        <w:lastRenderedPageBreak/>
        <w:t>3</w:t>
      </w:r>
      <w:r w:rsidR="00434C42">
        <w:rPr>
          <w:iCs/>
        </w:rPr>
        <w:t>.</w:t>
      </w:r>
      <w:r w:rsidR="006C03B8">
        <w:rPr>
          <w:iCs/>
        </w:rPr>
        <w:t xml:space="preserve"> </w:t>
      </w:r>
      <w:r w:rsidR="00A43125" w:rsidRPr="00AE6248">
        <w:rPr>
          <w:i/>
          <w:iCs/>
        </w:rPr>
        <w:t xml:space="preserve">Не подлежат ОРВ проекты НПА представительных органов муниципальных образований, регулирующих бюджетные правоотношения. А если бюджетные правоотношения регулируются НПА </w:t>
      </w:r>
      <w:r w:rsidR="00A43125" w:rsidRPr="00AE6248">
        <w:rPr>
          <w:b/>
          <w:bCs/>
          <w:i/>
          <w:iCs/>
        </w:rPr>
        <w:t>исполнительно-распорядительного органа муниципального образования</w:t>
      </w:r>
      <w:r w:rsidR="00A43125" w:rsidRPr="00AE6248">
        <w:rPr>
          <w:i/>
          <w:iCs/>
        </w:rPr>
        <w:t xml:space="preserve"> (н-р, постановлением местной администрации), ОРВ проводится? </w:t>
      </w:r>
    </w:p>
    <w:p w:rsidR="00FC1FC2" w:rsidRDefault="00061CFC" w:rsidP="0055009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C622B7">
        <w:rPr>
          <w:b/>
          <w:szCs w:val="28"/>
        </w:rPr>
        <w:t>Комментарии:</w:t>
      </w:r>
      <w:r w:rsidR="00FC1FC2">
        <w:rPr>
          <w:szCs w:val="28"/>
        </w:rPr>
        <w:t xml:space="preserve"> в</w:t>
      </w:r>
      <w:r w:rsidR="00FC1FC2">
        <w:rPr>
          <w:iCs/>
        </w:rPr>
        <w:t xml:space="preserve"> соответствии с подпунктом 2 пункта 3 статьи 46 </w:t>
      </w:r>
      <w:r w:rsidR="00FC1FC2" w:rsidRPr="00D17D1C">
        <w:rPr>
          <w:iCs/>
        </w:rPr>
        <w:t>Федеральн</w:t>
      </w:r>
      <w:r w:rsidR="00FC1FC2">
        <w:rPr>
          <w:iCs/>
        </w:rPr>
        <w:t>ого</w:t>
      </w:r>
      <w:r w:rsidR="00FC1FC2" w:rsidRPr="00D17D1C">
        <w:rPr>
          <w:iCs/>
        </w:rPr>
        <w:t xml:space="preserve"> закон</w:t>
      </w:r>
      <w:r w:rsidR="00FC1FC2">
        <w:rPr>
          <w:iCs/>
        </w:rPr>
        <w:t xml:space="preserve">а от 06 октября </w:t>
      </w:r>
      <w:r w:rsidR="00FC1FC2" w:rsidRPr="00D17D1C">
        <w:rPr>
          <w:iCs/>
        </w:rPr>
        <w:t>2003 N 131-ФЗ</w:t>
      </w:r>
      <w:r w:rsidR="00FC1FC2">
        <w:rPr>
          <w:iCs/>
        </w:rPr>
        <w:t xml:space="preserve"> «</w:t>
      </w:r>
      <w:r w:rsidR="00FC1FC2" w:rsidRPr="00D17D1C">
        <w:rPr>
          <w:iCs/>
        </w:rPr>
        <w:t>Об общих принципах организации местного самоуп</w:t>
      </w:r>
      <w:r w:rsidR="00FC1FC2">
        <w:rPr>
          <w:iCs/>
        </w:rPr>
        <w:t xml:space="preserve">равления в Российской Федерации» ОРВ не проводится в отношении </w:t>
      </w:r>
      <w:r w:rsidR="00FC1FC2" w:rsidRPr="00002AC3">
        <w:rPr>
          <w:iCs/>
        </w:rPr>
        <w:t>проектов нормативных правовых актов представительных органов</w:t>
      </w:r>
      <w:r w:rsidR="00554096">
        <w:t>, регулирующих бюджетные правоотношения</w:t>
      </w:r>
      <w:r w:rsidR="00FC1FC2">
        <w:rPr>
          <w:iCs/>
        </w:rPr>
        <w:t>. Таким образом, проекты актов исполнительно</w:t>
      </w:r>
      <w:r w:rsidR="00FC1FC2">
        <w:rPr>
          <w:szCs w:val="28"/>
        </w:rPr>
        <w:t>–распорядительного органа не</w:t>
      </w:r>
      <w:r w:rsidR="00FC1FC2" w:rsidRPr="00061CFC">
        <w:rPr>
          <w:szCs w:val="28"/>
        </w:rPr>
        <w:t xml:space="preserve"> подпадают под исключения из предметной области ОРВ</w:t>
      </w:r>
      <w:r w:rsidR="00FC1FC2">
        <w:rPr>
          <w:szCs w:val="28"/>
        </w:rPr>
        <w:t>.</w:t>
      </w:r>
    </w:p>
    <w:p w:rsidR="00C622B7" w:rsidRDefault="00C622B7" w:rsidP="00061CFC">
      <w:pPr>
        <w:overflowPunct/>
        <w:autoSpaceDE/>
        <w:autoSpaceDN/>
        <w:adjustRightInd/>
        <w:ind w:firstLine="709"/>
        <w:jc w:val="both"/>
        <w:textAlignment w:val="auto"/>
        <w:rPr>
          <w:i/>
          <w:szCs w:val="28"/>
        </w:rPr>
      </w:pPr>
      <w:r w:rsidRPr="00C622B7">
        <w:rPr>
          <w:i/>
          <w:szCs w:val="28"/>
        </w:rPr>
        <w:t>4.</w:t>
      </w:r>
      <w:r w:rsidRPr="00C622B7">
        <w:rPr>
          <w:i/>
          <w:szCs w:val="28"/>
        </w:rPr>
        <w:tab/>
        <w:t xml:space="preserve">Подлежат ли ОРВ проекты НПА, в соответствии с которыми осуществляется поддержка субъектов предпринимательской и инвестиционной деятельности (гранты, </w:t>
      </w:r>
      <w:proofErr w:type="spellStart"/>
      <w:r w:rsidRPr="00C622B7">
        <w:rPr>
          <w:i/>
          <w:szCs w:val="28"/>
        </w:rPr>
        <w:t>микрозаймы</w:t>
      </w:r>
      <w:proofErr w:type="spellEnd"/>
      <w:r w:rsidRPr="00C622B7">
        <w:rPr>
          <w:i/>
          <w:szCs w:val="28"/>
        </w:rPr>
        <w:t>…)?</w:t>
      </w:r>
    </w:p>
    <w:p w:rsidR="00C622B7" w:rsidRPr="0035456B" w:rsidRDefault="00C622B7" w:rsidP="00061CFC">
      <w:pPr>
        <w:overflowPunct/>
        <w:autoSpaceDE/>
        <w:autoSpaceDN/>
        <w:adjustRightInd/>
        <w:ind w:firstLine="709"/>
        <w:jc w:val="both"/>
        <w:textAlignment w:val="auto"/>
        <w:rPr>
          <w:iCs/>
        </w:rPr>
      </w:pPr>
      <w:r w:rsidRPr="00C622B7">
        <w:rPr>
          <w:b/>
          <w:szCs w:val="28"/>
        </w:rPr>
        <w:t>Комментарии:</w:t>
      </w:r>
      <w:r w:rsidR="0035456B">
        <w:rPr>
          <w:b/>
          <w:szCs w:val="28"/>
        </w:rPr>
        <w:t xml:space="preserve"> </w:t>
      </w:r>
      <w:r w:rsidR="0035456B" w:rsidRPr="0035456B">
        <w:rPr>
          <w:iCs/>
        </w:rPr>
        <w:t xml:space="preserve">проведение процедуры ОРВ в отношении проектов нормативных правовых актов, регулирующих общественные отношения по предоставлению </w:t>
      </w:r>
      <w:r w:rsidR="0055009B" w:rsidRPr="0035456B">
        <w:rPr>
          <w:iCs/>
        </w:rPr>
        <w:t>государственной поддержки,</w:t>
      </w:r>
      <w:r w:rsidR="0035456B" w:rsidRPr="0035456B">
        <w:rPr>
          <w:iCs/>
        </w:rPr>
        <w:t xml:space="preserve"> является целесообразным тогда, когда указанные проекты актов устанавливают новые или изменяют ранее предусмотренные </w:t>
      </w:r>
      <w:r w:rsidR="003E0627">
        <w:rPr>
          <w:iCs/>
        </w:rPr>
        <w:t xml:space="preserve">муниципальными </w:t>
      </w:r>
      <w:r w:rsidR="0035456B" w:rsidRPr="0035456B">
        <w:rPr>
          <w:iCs/>
        </w:rPr>
        <w:t>нормативными правовыми актами обязанности для субъектов предпринимательской и инвестиционной деятельности.</w:t>
      </w:r>
    </w:p>
    <w:p w:rsidR="00141DA5" w:rsidRPr="00141DA5" w:rsidRDefault="00141DA5" w:rsidP="00141DA5">
      <w:pPr>
        <w:overflowPunct/>
        <w:autoSpaceDE/>
        <w:autoSpaceDN/>
        <w:adjustRightInd/>
        <w:ind w:firstLine="709"/>
        <w:jc w:val="both"/>
        <w:textAlignment w:val="auto"/>
        <w:rPr>
          <w:i/>
          <w:szCs w:val="28"/>
        </w:rPr>
      </w:pPr>
      <w:r w:rsidRPr="00141DA5">
        <w:rPr>
          <w:i/>
          <w:szCs w:val="28"/>
        </w:rPr>
        <w:t>5. Подлежат ли ОРВ проекты административных регламентов, которые, по своей сути, являются сводом норм и правил, уже установленных иными федеральными, региональными, муниципальными НПА?</w:t>
      </w:r>
    </w:p>
    <w:p w:rsidR="00F0696F" w:rsidRDefault="00141DA5" w:rsidP="00BA6B00">
      <w:pPr>
        <w:overflowPunct/>
        <w:autoSpaceDE/>
        <w:autoSpaceDN/>
        <w:adjustRightInd/>
        <w:ind w:firstLine="709"/>
        <w:jc w:val="both"/>
        <w:textAlignment w:val="auto"/>
      </w:pPr>
      <w:r w:rsidRPr="00C622B7">
        <w:rPr>
          <w:b/>
          <w:szCs w:val="28"/>
        </w:rPr>
        <w:t>Комментарии:</w:t>
      </w:r>
      <w:r w:rsidR="0035456B" w:rsidRPr="0035456B">
        <w:t xml:space="preserve"> </w:t>
      </w:r>
      <w:r w:rsidR="00F0696F" w:rsidRPr="00F0696F">
        <w:t xml:space="preserve">Указанная группа актов не исключена из предметной области ОРВ и в случае, если указанные проекты актов устанавливают новые или изменяют ранее предусмотренные </w:t>
      </w:r>
      <w:r w:rsidR="003E0627">
        <w:t xml:space="preserve">муниципальными </w:t>
      </w:r>
      <w:r w:rsidR="00F0696F" w:rsidRPr="00F0696F">
        <w:t>нормативными правовыми актами обязанности для субъектов предпринимательской и инвестиционной деятельности, а также устанавливают, изменяют или отменяют ранее установленную ответственность за нарушение нормативных правовых актов, затрагивающих вопросы осуществления предпринимательской</w:t>
      </w:r>
      <w:r w:rsidR="00F0696F">
        <w:t xml:space="preserve"> </w:t>
      </w:r>
      <w:r w:rsidR="00F0696F" w:rsidRPr="00F0696F">
        <w:t xml:space="preserve">и инвестиционной деятельности, </w:t>
      </w:r>
      <w:r w:rsidR="00F0696F" w:rsidRPr="00F0696F">
        <w:br/>
        <w:t>в отношении указанных проектов актов проводится процедура ОРВ.</w:t>
      </w:r>
    </w:p>
    <w:p w:rsidR="00BA6B00" w:rsidRDefault="00D67893" w:rsidP="00BA6B00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При этом, </w:t>
      </w:r>
      <w:r w:rsidR="00BA6B00">
        <w:t>в отношении отдельных проектов нормативных правовых актов рекомендуется закрепить специальный порядок проведения процедуры ОРВ, в том числе при помощи сокращения или упрощения некоторых процедур.</w:t>
      </w:r>
    </w:p>
    <w:p w:rsidR="00BA6B00" w:rsidRDefault="00BA6B00" w:rsidP="00BA6B00">
      <w:pPr>
        <w:overflowPunct/>
        <w:autoSpaceDE/>
        <w:autoSpaceDN/>
        <w:adjustRightInd/>
        <w:ind w:firstLine="709"/>
        <w:jc w:val="both"/>
        <w:textAlignment w:val="auto"/>
      </w:pPr>
      <w:r>
        <w:t>Указанный порядок рекомендуется применять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BA6B00" w:rsidRDefault="00BA6B00" w:rsidP="00BA6B00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</w:t>
      </w:r>
      <w:r>
        <w:lastRenderedPageBreak/>
        <w:t>действующие обязанности субъектов предпринимательской и инвестиционной деятельности;</w:t>
      </w:r>
    </w:p>
    <w:p w:rsidR="00BA6B00" w:rsidRDefault="00BA6B00" w:rsidP="00BA6B00">
      <w:pPr>
        <w:overflowPunct/>
        <w:autoSpaceDE/>
        <w:autoSpaceDN/>
        <w:adjustRightInd/>
        <w:ind w:firstLine="709"/>
        <w:jc w:val="both"/>
        <w:textAlignment w:val="auto"/>
      </w:pPr>
      <w:r>
        <w:t>проектов нормативных правовых актов,</w:t>
      </w:r>
      <w:r w:rsidR="00D67893">
        <w:t xml:space="preserve"> </w:t>
      </w:r>
      <w:r>
        <w:t>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69050F" w:rsidRPr="0035456B" w:rsidRDefault="00BA6B00" w:rsidP="00BA6B00">
      <w:pPr>
        <w:overflowPunct/>
        <w:autoSpaceDE/>
        <w:autoSpaceDN/>
        <w:adjustRightInd/>
        <w:ind w:firstLine="709"/>
        <w:jc w:val="both"/>
        <w:textAlignment w:val="auto"/>
      </w:pPr>
      <w:r>
        <w:t>проектов нормативных правовых актов,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Федерации.</w:t>
      </w:r>
    </w:p>
    <w:p w:rsidR="00C22D62" w:rsidRDefault="009212AE" w:rsidP="000E3B69">
      <w:pPr>
        <w:jc w:val="center"/>
        <w:rPr>
          <w:szCs w:val="28"/>
        </w:rPr>
      </w:pPr>
      <w:bookmarkStart w:id="0" w:name="_GoBack"/>
      <w:bookmarkEnd w:id="0"/>
      <w:r w:rsidRPr="009212A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3F32BF81" wp14:editId="18E98784">
                <wp:simplePos x="0" y="0"/>
                <wp:positionH relativeFrom="page">
                  <wp:posOffset>903605</wp:posOffset>
                </wp:positionH>
                <wp:positionV relativeFrom="page">
                  <wp:posOffset>9678035</wp:posOffset>
                </wp:positionV>
                <wp:extent cx="6411600" cy="38520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6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2AE" w:rsidRPr="009212AE" w:rsidRDefault="009212AE" w:rsidP="009212AE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2BF81" id="Прямоугольник 10" o:spid="_x0000_s1026" style="position:absolute;left:0;text-align:left;margin-left:71.15pt;margin-top:762.05pt;width:504.8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Ma2AIAAMM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" o:allowoverlap="f" filled="f" stroked="f">
                <v:textbox>
                  <w:txbxContent>
                    <w:p w:rsidR="009212AE" w:rsidRPr="009212AE" w:rsidRDefault="009212AE" w:rsidP="009212AE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E3D37B1" id="Прямоугольник 7" o:spid="_x0000_s1026" style="position:absolute;margin-left:.35pt;margin-top:783pt;width:49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Sect="009C0DD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46" w:rsidRDefault="00907246" w:rsidP="009C0DD4">
      <w:r>
        <w:separator/>
      </w:r>
    </w:p>
  </w:endnote>
  <w:endnote w:type="continuationSeparator" w:id="0">
    <w:p w:rsidR="00907246" w:rsidRDefault="00907246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46" w:rsidRDefault="00907246" w:rsidP="009C0DD4">
      <w:r>
        <w:separator/>
      </w:r>
    </w:p>
  </w:footnote>
  <w:footnote w:type="continuationSeparator" w:id="0">
    <w:p w:rsidR="00907246" w:rsidRDefault="00907246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9C0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FB">
          <w:rPr>
            <w:noProof/>
          </w:rPr>
          <w:t>3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3DC0"/>
    <w:multiLevelType w:val="hybridMultilevel"/>
    <w:tmpl w:val="ED627930"/>
    <w:lvl w:ilvl="0" w:tplc="87A8C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F8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C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6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0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2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CF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C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4B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E05903"/>
    <w:multiLevelType w:val="hybridMultilevel"/>
    <w:tmpl w:val="9D7870C4"/>
    <w:lvl w:ilvl="0" w:tplc="56346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16085"/>
    <w:multiLevelType w:val="hybridMultilevel"/>
    <w:tmpl w:val="AB7A0376"/>
    <w:lvl w:ilvl="0" w:tplc="B5D2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02AC3"/>
    <w:rsid w:val="0002010C"/>
    <w:rsid w:val="00024647"/>
    <w:rsid w:val="000253B7"/>
    <w:rsid w:val="00037BD7"/>
    <w:rsid w:val="000411A2"/>
    <w:rsid w:val="00041FC2"/>
    <w:rsid w:val="000436A9"/>
    <w:rsid w:val="00061CFC"/>
    <w:rsid w:val="000627A1"/>
    <w:rsid w:val="000627AD"/>
    <w:rsid w:val="00066346"/>
    <w:rsid w:val="00072D07"/>
    <w:rsid w:val="00085D70"/>
    <w:rsid w:val="000A2465"/>
    <w:rsid w:val="000A791C"/>
    <w:rsid w:val="000B371B"/>
    <w:rsid w:val="000C38E7"/>
    <w:rsid w:val="000D358C"/>
    <w:rsid w:val="000D636A"/>
    <w:rsid w:val="000D7E9E"/>
    <w:rsid w:val="000E3B69"/>
    <w:rsid w:val="000F2C4E"/>
    <w:rsid w:val="000F5C0B"/>
    <w:rsid w:val="00104B8F"/>
    <w:rsid w:val="00104D5D"/>
    <w:rsid w:val="00121876"/>
    <w:rsid w:val="00131799"/>
    <w:rsid w:val="001333CA"/>
    <w:rsid w:val="00141DA5"/>
    <w:rsid w:val="0014271B"/>
    <w:rsid w:val="001438B9"/>
    <w:rsid w:val="001474FA"/>
    <w:rsid w:val="00161232"/>
    <w:rsid w:val="0016177C"/>
    <w:rsid w:val="00167F48"/>
    <w:rsid w:val="00180B6F"/>
    <w:rsid w:val="00186203"/>
    <w:rsid w:val="001A7464"/>
    <w:rsid w:val="001B25EE"/>
    <w:rsid w:val="001B2942"/>
    <w:rsid w:val="001C046A"/>
    <w:rsid w:val="001C55C4"/>
    <w:rsid w:val="001D25E0"/>
    <w:rsid w:val="001D61E0"/>
    <w:rsid w:val="001D6E66"/>
    <w:rsid w:val="001F490B"/>
    <w:rsid w:val="002062AF"/>
    <w:rsid w:val="00211C58"/>
    <w:rsid w:val="00217742"/>
    <w:rsid w:val="00225103"/>
    <w:rsid w:val="0023461A"/>
    <w:rsid w:val="002404B3"/>
    <w:rsid w:val="00244C81"/>
    <w:rsid w:val="0025453A"/>
    <w:rsid w:val="00261856"/>
    <w:rsid w:val="00266670"/>
    <w:rsid w:val="002679C9"/>
    <w:rsid w:val="00290F37"/>
    <w:rsid w:val="002A2B6A"/>
    <w:rsid w:val="002B34DA"/>
    <w:rsid w:val="002B69B2"/>
    <w:rsid w:val="002C7730"/>
    <w:rsid w:val="002D71A2"/>
    <w:rsid w:val="002E2742"/>
    <w:rsid w:val="002F368C"/>
    <w:rsid w:val="002F7E97"/>
    <w:rsid w:val="00300A39"/>
    <w:rsid w:val="00331533"/>
    <w:rsid w:val="00335127"/>
    <w:rsid w:val="00341B93"/>
    <w:rsid w:val="00345629"/>
    <w:rsid w:val="0035456B"/>
    <w:rsid w:val="003546D9"/>
    <w:rsid w:val="0036187A"/>
    <w:rsid w:val="0037726C"/>
    <w:rsid w:val="00393D06"/>
    <w:rsid w:val="003A1F73"/>
    <w:rsid w:val="003C770E"/>
    <w:rsid w:val="003C77C7"/>
    <w:rsid w:val="003D2278"/>
    <w:rsid w:val="003E0627"/>
    <w:rsid w:val="003E22C8"/>
    <w:rsid w:val="003F1EFB"/>
    <w:rsid w:val="003F447C"/>
    <w:rsid w:val="00405138"/>
    <w:rsid w:val="004133F9"/>
    <w:rsid w:val="00415684"/>
    <w:rsid w:val="00421CA9"/>
    <w:rsid w:val="00421CD6"/>
    <w:rsid w:val="004238EF"/>
    <w:rsid w:val="004268E9"/>
    <w:rsid w:val="00434C42"/>
    <w:rsid w:val="00442F29"/>
    <w:rsid w:val="004437D1"/>
    <w:rsid w:val="004547BB"/>
    <w:rsid w:val="00463060"/>
    <w:rsid w:val="004716DC"/>
    <w:rsid w:val="00476741"/>
    <w:rsid w:val="00480F10"/>
    <w:rsid w:val="00487799"/>
    <w:rsid w:val="004B2C80"/>
    <w:rsid w:val="004D1AB8"/>
    <w:rsid w:val="004D467C"/>
    <w:rsid w:val="004E41A2"/>
    <w:rsid w:val="004E6FA1"/>
    <w:rsid w:val="004F278F"/>
    <w:rsid w:val="004F4FD3"/>
    <w:rsid w:val="004F592E"/>
    <w:rsid w:val="00520009"/>
    <w:rsid w:val="0052339D"/>
    <w:rsid w:val="005465EE"/>
    <w:rsid w:val="0055009B"/>
    <w:rsid w:val="00550C34"/>
    <w:rsid w:val="005526CF"/>
    <w:rsid w:val="00554096"/>
    <w:rsid w:val="005607E0"/>
    <w:rsid w:val="00567A16"/>
    <w:rsid w:val="005847A9"/>
    <w:rsid w:val="00585305"/>
    <w:rsid w:val="00596AF3"/>
    <w:rsid w:val="005A405A"/>
    <w:rsid w:val="005A58F0"/>
    <w:rsid w:val="005B05E6"/>
    <w:rsid w:val="005D23D4"/>
    <w:rsid w:val="005D78CE"/>
    <w:rsid w:val="005E7967"/>
    <w:rsid w:val="00603A95"/>
    <w:rsid w:val="00607351"/>
    <w:rsid w:val="00625BB0"/>
    <w:rsid w:val="00626826"/>
    <w:rsid w:val="00627102"/>
    <w:rsid w:val="00634E20"/>
    <w:rsid w:val="0064264D"/>
    <w:rsid w:val="00656B94"/>
    <w:rsid w:val="00663F41"/>
    <w:rsid w:val="00680A8E"/>
    <w:rsid w:val="00682DF0"/>
    <w:rsid w:val="006856D6"/>
    <w:rsid w:val="0069050F"/>
    <w:rsid w:val="006A0EA6"/>
    <w:rsid w:val="006A20A6"/>
    <w:rsid w:val="006A323F"/>
    <w:rsid w:val="006C03B8"/>
    <w:rsid w:val="006C082D"/>
    <w:rsid w:val="00714D36"/>
    <w:rsid w:val="00722C40"/>
    <w:rsid w:val="007275C6"/>
    <w:rsid w:val="0074070A"/>
    <w:rsid w:val="00742CF9"/>
    <w:rsid w:val="00747F3C"/>
    <w:rsid w:val="007570F2"/>
    <w:rsid w:val="007645A3"/>
    <w:rsid w:val="007842D5"/>
    <w:rsid w:val="007966EE"/>
    <w:rsid w:val="007A3420"/>
    <w:rsid w:val="007A6589"/>
    <w:rsid w:val="007B27C3"/>
    <w:rsid w:val="007B48BF"/>
    <w:rsid w:val="007C1BA6"/>
    <w:rsid w:val="007F44D7"/>
    <w:rsid w:val="00804E65"/>
    <w:rsid w:val="008126A8"/>
    <w:rsid w:val="00815212"/>
    <w:rsid w:val="00816D00"/>
    <w:rsid w:val="008257A0"/>
    <w:rsid w:val="0083149E"/>
    <w:rsid w:val="0083721A"/>
    <w:rsid w:val="00841955"/>
    <w:rsid w:val="00852DD5"/>
    <w:rsid w:val="0086723E"/>
    <w:rsid w:val="00870093"/>
    <w:rsid w:val="00873C6A"/>
    <w:rsid w:val="008746E3"/>
    <w:rsid w:val="00892BF9"/>
    <w:rsid w:val="008A2083"/>
    <w:rsid w:val="008A274B"/>
    <w:rsid w:val="008A3610"/>
    <w:rsid w:val="008A4134"/>
    <w:rsid w:val="008B4905"/>
    <w:rsid w:val="008B513D"/>
    <w:rsid w:val="008B7A59"/>
    <w:rsid w:val="008C399C"/>
    <w:rsid w:val="008E1F35"/>
    <w:rsid w:val="008E5B57"/>
    <w:rsid w:val="008F10E3"/>
    <w:rsid w:val="008F5043"/>
    <w:rsid w:val="008F6B42"/>
    <w:rsid w:val="00902AD3"/>
    <w:rsid w:val="009030FA"/>
    <w:rsid w:val="00907246"/>
    <w:rsid w:val="00913DA4"/>
    <w:rsid w:val="0091791E"/>
    <w:rsid w:val="009212AE"/>
    <w:rsid w:val="00947F87"/>
    <w:rsid w:val="00964CB2"/>
    <w:rsid w:val="009807A8"/>
    <w:rsid w:val="00997FD5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209EE"/>
    <w:rsid w:val="00A368E0"/>
    <w:rsid w:val="00A40140"/>
    <w:rsid w:val="00A43125"/>
    <w:rsid w:val="00A77E1E"/>
    <w:rsid w:val="00A93279"/>
    <w:rsid w:val="00A9621B"/>
    <w:rsid w:val="00AB0D6E"/>
    <w:rsid w:val="00AD524B"/>
    <w:rsid w:val="00AD637A"/>
    <w:rsid w:val="00AE57B8"/>
    <w:rsid w:val="00AE6248"/>
    <w:rsid w:val="00B03412"/>
    <w:rsid w:val="00B05E9D"/>
    <w:rsid w:val="00B15179"/>
    <w:rsid w:val="00B27AF4"/>
    <w:rsid w:val="00B512B4"/>
    <w:rsid w:val="00B55A96"/>
    <w:rsid w:val="00B66729"/>
    <w:rsid w:val="00B66FF6"/>
    <w:rsid w:val="00B86C75"/>
    <w:rsid w:val="00B95B3D"/>
    <w:rsid w:val="00B978FC"/>
    <w:rsid w:val="00BA498E"/>
    <w:rsid w:val="00BA62FA"/>
    <w:rsid w:val="00BA6B00"/>
    <w:rsid w:val="00BC397C"/>
    <w:rsid w:val="00BC4C84"/>
    <w:rsid w:val="00BD08BE"/>
    <w:rsid w:val="00BD6041"/>
    <w:rsid w:val="00BE5149"/>
    <w:rsid w:val="00C03D74"/>
    <w:rsid w:val="00C2144E"/>
    <w:rsid w:val="00C22D62"/>
    <w:rsid w:val="00C22D81"/>
    <w:rsid w:val="00C24056"/>
    <w:rsid w:val="00C25629"/>
    <w:rsid w:val="00C4597E"/>
    <w:rsid w:val="00C45BED"/>
    <w:rsid w:val="00C622B7"/>
    <w:rsid w:val="00C81E1C"/>
    <w:rsid w:val="00C85505"/>
    <w:rsid w:val="00C917CD"/>
    <w:rsid w:val="00CA3E3A"/>
    <w:rsid w:val="00CA7F76"/>
    <w:rsid w:val="00CB07BD"/>
    <w:rsid w:val="00CC1D85"/>
    <w:rsid w:val="00CD31FD"/>
    <w:rsid w:val="00CD41D9"/>
    <w:rsid w:val="00CF4B9C"/>
    <w:rsid w:val="00CF58F1"/>
    <w:rsid w:val="00D0488D"/>
    <w:rsid w:val="00D07072"/>
    <w:rsid w:val="00D105FF"/>
    <w:rsid w:val="00D154E5"/>
    <w:rsid w:val="00D17D1C"/>
    <w:rsid w:val="00D23934"/>
    <w:rsid w:val="00D30288"/>
    <w:rsid w:val="00D360CE"/>
    <w:rsid w:val="00D36306"/>
    <w:rsid w:val="00D43B14"/>
    <w:rsid w:val="00D61540"/>
    <w:rsid w:val="00D63979"/>
    <w:rsid w:val="00D67893"/>
    <w:rsid w:val="00D711E5"/>
    <w:rsid w:val="00D913E4"/>
    <w:rsid w:val="00DA020E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E092E"/>
    <w:rsid w:val="00DE38F4"/>
    <w:rsid w:val="00DE78E2"/>
    <w:rsid w:val="00E04700"/>
    <w:rsid w:val="00E04948"/>
    <w:rsid w:val="00E1180A"/>
    <w:rsid w:val="00E12793"/>
    <w:rsid w:val="00E15740"/>
    <w:rsid w:val="00E16DC3"/>
    <w:rsid w:val="00E17703"/>
    <w:rsid w:val="00E24650"/>
    <w:rsid w:val="00E37075"/>
    <w:rsid w:val="00E37335"/>
    <w:rsid w:val="00E4383C"/>
    <w:rsid w:val="00E53AD2"/>
    <w:rsid w:val="00E54FDA"/>
    <w:rsid w:val="00E60872"/>
    <w:rsid w:val="00E92444"/>
    <w:rsid w:val="00E9783A"/>
    <w:rsid w:val="00EA19F2"/>
    <w:rsid w:val="00EA1C35"/>
    <w:rsid w:val="00EA74B7"/>
    <w:rsid w:val="00EB78B9"/>
    <w:rsid w:val="00EC569B"/>
    <w:rsid w:val="00EF75E4"/>
    <w:rsid w:val="00F0696F"/>
    <w:rsid w:val="00F13251"/>
    <w:rsid w:val="00F20932"/>
    <w:rsid w:val="00F22355"/>
    <w:rsid w:val="00F61A39"/>
    <w:rsid w:val="00F6226E"/>
    <w:rsid w:val="00F85012"/>
    <w:rsid w:val="00F979C3"/>
    <w:rsid w:val="00FA292D"/>
    <w:rsid w:val="00FB4ABA"/>
    <w:rsid w:val="00FC1FC2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9969-F2B5-45D4-BA68-9640695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basedOn w:val="a0"/>
    <w:uiPriority w:val="99"/>
    <w:rsid w:val="008B513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513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Normal (Web)"/>
    <w:basedOn w:val="a"/>
    <w:uiPriority w:val="99"/>
    <w:semiHidden/>
    <w:unhideWhenUsed/>
    <w:rsid w:val="006C03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6C03B8"/>
    <w:rPr>
      <w:b/>
      <w:bCs/>
    </w:rPr>
  </w:style>
  <w:style w:type="character" w:styleId="ae">
    <w:name w:val="Emphasis"/>
    <w:basedOn w:val="a0"/>
    <w:uiPriority w:val="20"/>
    <w:qFormat/>
    <w:rsid w:val="006C0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8F9402-B76B-4748-863C-646FD642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cp:lastModifiedBy>Савельев Дмитрий Игоревич</cp:lastModifiedBy>
  <cp:revision>9</cp:revision>
  <cp:lastPrinted>2015-08-26T12:34:00Z</cp:lastPrinted>
  <dcterms:created xsi:type="dcterms:W3CDTF">2016-12-09T11:50:00Z</dcterms:created>
  <dcterms:modified xsi:type="dcterms:W3CDTF">2016-12-26T05:51:00Z</dcterms:modified>
</cp:coreProperties>
</file>