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В сводном докладе об осуществлении государственного контроля за 2013 год отражена информация об осуществлении контрольно-надзорных мероприятий 11 исполнительных органов государственной власти Свердловской области (в части собственных полномочий).  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В 2013 году проведено 17 836 проверок (в 2012 году — 4 603, рост в 3,9 раза), в том числе 10 450 внеплановых.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Общее количество проверенных субъектов составило 5 555 единицы (в 2012 году — 975, рост в 5,7 раза).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Ключевые причины роста: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1) Значительный рост проверок по обращениям граждан в Управлении государственной жилищной инспекции (общее количество проверок В 2012 году — 4 160, в 2013 году — 9 569, рост в 2,3 раза).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2) Налажен статистический учет юридических лиц в Управлении государственного строительного надзора Свердловской области. До 2013 года в Управлении государственного строительного надзора считали только проверяемые объекты строительства, в связи с чем в строке формы статистического учета № 1-контроль «Общее количество проверок, проведенных в отношении юридических лиц, индивидуальных предпринимателей» было указано значение 0, а по итогам 2013 года — 4119.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3) В 2012 году мероприятия по государственному надзору за техническим состоянием самоходных машин и других видов техники в Свердловской области проводились в рамках проведения государственного технического осмотра самоходной техники по согласованию с ее владельцами, обращения которых о проведении осмотров носили заявительный характер, в 2013 году выделены и учитываются отдельно, проведено 3 075 проверок единиц техники.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 xml:space="preserve">           По итогам исполнения мероприятий по совершенствованию контрольно-надзорной деятельности по перечню поручений Председателя Свердловской области от 21.05.2013 г. № 14 </w:t>
      </w:r>
      <w:proofErr w:type="spellStart"/>
      <w:r w:rsidRPr="00914C48">
        <w:rPr>
          <w:rFonts w:eastAsia="Times New Roman" w:cs="Times New Roman"/>
          <w:color w:val="333333"/>
          <w:sz w:val="22"/>
          <w:lang w:eastAsia="ru-RU"/>
        </w:rPr>
        <w:t>пп</w:t>
      </w:r>
      <w:proofErr w:type="spellEnd"/>
      <w:r w:rsidRPr="00914C48">
        <w:rPr>
          <w:rFonts w:eastAsia="Times New Roman" w:cs="Times New Roman"/>
          <w:color w:val="333333"/>
          <w:sz w:val="22"/>
          <w:lang w:eastAsia="ru-RU"/>
        </w:rPr>
        <w:t xml:space="preserve">     всеми исполнительными органами государственной власти Свердловской области, реализующими контрольные (надзорные) полномочия проведены следующие ключевые мероприятия: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1. Исключены случаи проведения необоснованных проверок структурными подразделениями в отношении субъектов малого и среднего предпринимательства.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2. Налажен внутриведомственный контроль.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 xml:space="preserve">           3. Обеспечено использование в установленном ФНС России порядке официального доступа к сведениям, содержащимся в Едином государственном реестре юридических лиц и Едином государственном реестре индивидуальных предпринимателей, в том числе — через официальный </w:t>
      </w:r>
      <w:r w:rsidRPr="00914C48">
        <w:rPr>
          <w:rFonts w:eastAsia="Times New Roman" w:cs="Times New Roman"/>
          <w:color w:val="333333"/>
          <w:sz w:val="22"/>
          <w:lang w:eastAsia="ru-RU"/>
        </w:rPr>
        <w:lastRenderedPageBreak/>
        <w:t xml:space="preserve">сайт Федеральной налоговой службы России </w:t>
      </w:r>
      <w:hyperlink r:id="rId4" w:history="1">
        <w:r w:rsidRPr="00914C48">
          <w:rPr>
            <w:rFonts w:eastAsia="Times New Roman" w:cs="Times New Roman"/>
            <w:color w:val="2E6893"/>
            <w:sz w:val="22"/>
            <w:u w:val="single"/>
            <w:lang w:eastAsia="ru-RU"/>
          </w:rPr>
          <w:t>www.nalog.ru</w:t>
        </w:r>
      </w:hyperlink>
      <w:r w:rsidRPr="00914C48">
        <w:rPr>
          <w:rFonts w:eastAsia="Times New Roman" w:cs="Times New Roman"/>
          <w:color w:val="333333"/>
          <w:sz w:val="22"/>
          <w:lang w:eastAsia="ru-RU"/>
        </w:rPr>
        <w:t>, через систему межведомственного электронного взаимодействия с использованием индивидуальных цифровых электронных подписей;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5. Налажено взаимодействие с общественными организациями при реализации контрольно-надзорных полномочий в 2013 году.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6. Приняты меры по организации совместных проверок. В частности, определены потенциальные федеральные исполнительные органы государственной власти для проведения таких проверок, которым были направлены соответствующие запросы. Планы проверок на 2014 год согласованы с Прокуратурой Свердловской области и утверждены в установленный срок.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Достижения органов контроля (надзора) в 2013 году: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 1. В 2 раза (с 4 в 2012 году до 8 в 2013 году) возросло количество совместных проверок органов контроля (надзора);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2. Значительно сократилась доля проверок, по итогам проведения которых выявлены правонарушения (с 97,3 % в 2012 году до 44,8 % в 2013 году).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3. При значительном росте общего количества проверок (в 3,9 раза по сравнению с 2012 годом) незначительно возросло общее количество выявленных правонарушений (с 34 427 в 2012 году до 40 266 в 2013 году, т.е. рост на 14,5 %).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bookmarkStart w:id="0" w:name="_GoBack"/>
      <w:bookmarkEnd w:id="0"/>
      <w:r w:rsidRPr="00914C48">
        <w:rPr>
          <w:rFonts w:eastAsia="Times New Roman" w:cs="Times New Roman"/>
          <w:color w:val="333333"/>
          <w:sz w:val="22"/>
          <w:lang w:eastAsia="ru-RU"/>
        </w:rPr>
        <w:t>          </w:t>
      </w:r>
      <w:r w:rsidRPr="00914C48">
        <w:rPr>
          <w:rFonts w:eastAsia="Times New Roman" w:cs="Times New Roman"/>
          <w:color w:val="333333"/>
          <w:sz w:val="22"/>
          <w:u w:val="single"/>
          <w:lang w:eastAsia="ru-RU"/>
        </w:rPr>
        <w:t xml:space="preserve"> Ключевые задачи </w:t>
      </w:r>
      <w:r w:rsidRPr="00914C48">
        <w:rPr>
          <w:rFonts w:eastAsia="Times New Roman" w:cs="Times New Roman"/>
          <w:color w:val="333333"/>
          <w:sz w:val="22"/>
          <w:lang w:eastAsia="ru-RU"/>
        </w:rPr>
        <w:t>исполнительных органов государственной власти Свердловской области на 2014 год в сфере контрольно-надзорной деятельности: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— профилактика правонарушений, методическое информирование подконтрольных объектов, пресечение нарушений обязательных требований законодательства;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— повышение квалификации сотрудников;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— проведение ежегодного мониторинга эффективности государственного контроля за соблюдением требований законодательства;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          — выявление и анализ причин и условий, способствующих совершению правонарушений в курируемых сферах, принятию мер по их устранению или нейтрализации.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 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 xml:space="preserve">           По итогам работы муниципальных образований в Свердловской области в 2013 году осуществлялись контрольные полномочия по следующим видам </w:t>
      </w:r>
      <w:r w:rsidRPr="00914C48">
        <w:rPr>
          <w:rFonts w:eastAsia="Times New Roman" w:cs="Times New Roman"/>
          <w:color w:val="333333"/>
          <w:sz w:val="22"/>
          <w:u w:val="single"/>
          <w:lang w:eastAsia="ru-RU"/>
        </w:rPr>
        <w:t>муниципального контроля</w:t>
      </w:r>
      <w:r w:rsidRPr="00914C48">
        <w:rPr>
          <w:rFonts w:eastAsia="Times New Roman" w:cs="Times New Roman"/>
          <w:color w:val="333333"/>
          <w:sz w:val="22"/>
          <w:lang w:eastAsia="ru-RU"/>
        </w:rPr>
        <w:t>: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1. Муниципальный земельный контроль;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lastRenderedPageBreak/>
        <w:t>2. Муниципальный контроль за сохранностью автомобильных дорог местного значения;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3. Контроль соблюдения условий организации регулярных перевозок на территории муниципального образования;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4. Муниципальный контроль в области использования и охраны особо охраняемых природных территорий местного значения;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5. Муниципальный экологический контроль (муниципальный контроль за соблюдением требований в области охраны окружающей среды);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 xml:space="preserve">6. Контроль за использованием и сохранностью муниципального жилищного фонда, </w:t>
      </w:r>
      <w:proofErr w:type="gramStart"/>
      <w:r w:rsidRPr="00914C48">
        <w:rPr>
          <w:rFonts w:eastAsia="Times New Roman" w:cs="Times New Roman"/>
          <w:color w:val="333333"/>
          <w:sz w:val="22"/>
          <w:lang w:eastAsia="ru-RU"/>
        </w:rPr>
        <w:t>соответствием жилых помещений данного фонда</w:t>
      </w:r>
      <w:proofErr w:type="gramEnd"/>
      <w:r w:rsidRPr="00914C48">
        <w:rPr>
          <w:rFonts w:eastAsia="Times New Roman" w:cs="Times New Roman"/>
          <w:color w:val="333333"/>
          <w:sz w:val="22"/>
          <w:lang w:eastAsia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7. Муниципальный контроль за проведением муниципальных лотерей;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9. Контроль исполнения нормативных правовых актов в сфере рекламы;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10. Муниципальный лесной контроль;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11. Контроль за соблюдением законодательства в области розничной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продажи алкогольной продукции;  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12. Муниципальный контроль в области торговой деятельности;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13. Контроль за организацией и осуществлением деятельности по продаже товаров (выполнению работ, оказанию услуг) на розничных рынках; 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14.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14C48" w:rsidRPr="00914C48" w:rsidRDefault="00914C48" w:rsidP="00914C48">
      <w:pPr>
        <w:spacing w:before="100" w:beforeAutospacing="1" w:after="100" w:afterAutospacing="1" w:line="337" w:lineRule="atLeast"/>
        <w:rPr>
          <w:rFonts w:eastAsia="Times New Roman" w:cs="Times New Roman"/>
          <w:color w:val="333333"/>
          <w:sz w:val="22"/>
          <w:lang w:eastAsia="ru-RU"/>
        </w:rPr>
      </w:pPr>
      <w:r w:rsidRPr="00914C48">
        <w:rPr>
          <w:rFonts w:eastAsia="Times New Roman" w:cs="Times New Roman"/>
          <w:color w:val="333333"/>
          <w:sz w:val="22"/>
          <w:lang w:eastAsia="ru-RU"/>
        </w:rPr>
        <w:t>В Свердловской области не реализуется муниципальный контроль за предоставлением обязательного экземпляра и контроль на территории особой экономической зоны.</w:t>
      </w:r>
    </w:p>
    <w:p w:rsidR="00254F32" w:rsidRDefault="00254F32"/>
    <w:sectPr w:rsidR="0025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F2"/>
    <w:rsid w:val="00254F32"/>
    <w:rsid w:val="004060F2"/>
    <w:rsid w:val="0091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B7CB-B146-4B55-90A2-408DDFD8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4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Крохалева Марина Вячеславовна</cp:lastModifiedBy>
  <cp:revision>2</cp:revision>
  <dcterms:created xsi:type="dcterms:W3CDTF">2015-10-09T10:41:00Z</dcterms:created>
  <dcterms:modified xsi:type="dcterms:W3CDTF">2015-10-09T10:41:00Z</dcterms:modified>
</cp:coreProperties>
</file>