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57" w:rsidRPr="00B84546" w:rsidRDefault="00103957" w:rsidP="00103957">
      <w:pPr>
        <w:jc w:val="center"/>
        <w:rPr>
          <w:sz w:val="28"/>
          <w:szCs w:val="28"/>
        </w:rPr>
      </w:pPr>
      <w:r w:rsidRPr="00B84546">
        <w:rPr>
          <w:sz w:val="28"/>
          <w:szCs w:val="28"/>
        </w:rPr>
        <w:t xml:space="preserve">ИНФОРМАЦИОННАЯ СПРАВКА </w:t>
      </w:r>
      <w:r w:rsidRPr="00B84546">
        <w:rPr>
          <w:sz w:val="28"/>
          <w:szCs w:val="28"/>
        </w:rPr>
        <w:br/>
        <w:t>о результатах проведения публичных консультаций в рамках оценки регулирующ</w:t>
      </w:r>
      <w:r w:rsidRPr="00B84546">
        <w:rPr>
          <w:sz w:val="28"/>
          <w:szCs w:val="28"/>
        </w:rPr>
        <w:t>е</w:t>
      </w:r>
      <w:r w:rsidRPr="00B84546">
        <w:rPr>
          <w:sz w:val="28"/>
          <w:szCs w:val="28"/>
        </w:rPr>
        <w:t>го воздействия (ОРВ)</w:t>
      </w:r>
      <w:r>
        <w:rPr>
          <w:sz w:val="28"/>
          <w:szCs w:val="28"/>
        </w:rPr>
        <w:t xml:space="preserve"> </w:t>
      </w:r>
      <w:r w:rsidRPr="00B84546">
        <w:rPr>
          <w:sz w:val="28"/>
          <w:szCs w:val="28"/>
        </w:rPr>
        <w:t xml:space="preserve">за первое полугодие </w:t>
      </w:r>
      <w:r>
        <w:rPr>
          <w:sz w:val="28"/>
          <w:szCs w:val="28"/>
        </w:rPr>
        <w:t>2017</w:t>
      </w:r>
    </w:p>
    <w:p w:rsidR="00103957" w:rsidRPr="00E45FBF" w:rsidRDefault="00103957" w:rsidP="00103957">
      <w:pPr>
        <w:jc w:val="both"/>
        <w:rPr>
          <w:sz w:val="20"/>
          <w:szCs w:val="20"/>
        </w:rPr>
      </w:pPr>
    </w:p>
    <w:tbl>
      <w:tblPr>
        <w:tblW w:w="10710" w:type="dxa"/>
        <w:tblInd w:w="-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4110"/>
        <w:gridCol w:w="5777"/>
      </w:tblGrid>
      <w:tr w:rsidR="00103957" w:rsidRPr="00886216" w:rsidTr="00103957">
        <w:tc>
          <w:tcPr>
            <w:tcW w:w="823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bookmarkStart w:id="0" w:name="_GoBack"/>
            <w:bookmarkEnd w:id="0"/>
            <w:r w:rsidRPr="00B84546">
              <w:t>1</w:t>
            </w:r>
          </w:p>
        </w:tc>
        <w:tc>
          <w:tcPr>
            <w:tcW w:w="4110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Общее количество проектов норм</w:t>
            </w:r>
            <w:r w:rsidRPr="00B84546">
              <w:t>а</w:t>
            </w:r>
            <w:r w:rsidRPr="00B84546">
              <w:t>тивных правовых актов, по которым проведены публичные ко</w:t>
            </w:r>
            <w:r w:rsidRPr="00B84546">
              <w:t>н</w:t>
            </w:r>
            <w:r w:rsidRPr="00B84546">
              <w:t>сультации</w:t>
            </w:r>
          </w:p>
        </w:tc>
        <w:tc>
          <w:tcPr>
            <w:tcW w:w="5777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>
              <w:t>19</w:t>
            </w:r>
          </w:p>
        </w:tc>
      </w:tr>
      <w:tr w:rsidR="00103957" w:rsidRPr="00886216" w:rsidTr="00103957">
        <w:tc>
          <w:tcPr>
            <w:tcW w:w="823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2</w:t>
            </w:r>
          </w:p>
        </w:tc>
        <w:tc>
          <w:tcPr>
            <w:tcW w:w="4110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Информация о гражданах и орган</w:t>
            </w:r>
            <w:r w:rsidRPr="00B84546">
              <w:t>и</w:t>
            </w:r>
            <w:r w:rsidRPr="00B84546">
              <w:t>зациях, извещённых о проведении публичных консультаций профильным орг</w:t>
            </w:r>
            <w:r w:rsidRPr="00B84546">
              <w:t>а</w:t>
            </w:r>
            <w:r w:rsidRPr="00B84546">
              <w:t>ном</w:t>
            </w:r>
          </w:p>
          <w:p w:rsidR="00103957" w:rsidRPr="00B84546" w:rsidRDefault="00103957" w:rsidP="007422C9">
            <w:pPr>
              <w:jc w:val="both"/>
            </w:pPr>
          </w:p>
        </w:tc>
        <w:tc>
          <w:tcPr>
            <w:tcW w:w="5777" w:type="dxa"/>
            <w:shd w:val="clear" w:color="auto" w:fill="auto"/>
          </w:tcPr>
          <w:p w:rsidR="00103957" w:rsidRDefault="00103957" w:rsidP="007422C9">
            <w:pPr>
              <w:jc w:val="both"/>
            </w:pPr>
            <w:proofErr w:type="gramStart"/>
            <w:r w:rsidRPr="00B84546">
              <w:t>Свердловский областной союз промышленников и предпринимателей, Уральская торгово-промышленная палата, Свердловское областное отделение Общероссийской общ</w:t>
            </w:r>
            <w:r w:rsidRPr="00B84546">
              <w:t>е</w:t>
            </w:r>
            <w:r w:rsidRPr="00B84546">
              <w:t>ственной организации малого и среднего предпринимательства «Опора Ро</w:t>
            </w:r>
            <w:r w:rsidRPr="00B84546">
              <w:t>с</w:t>
            </w:r>
            <w:r w:rsidRPr="00B84546">
              <w:t>сии», Свердловское региональное отделение Общ</w:t>
            </w:r>
            <w:r w:rsidRPr="00B84546">
              <w:t>е</w:t>
            </w:r>
            <w:r w:rsidRPr="00B84546">
              <w:t xml:space="preserve">российской общественной организации «Деловая Россия», Институт экономики </w:t>
            </w:r>
            <w:proofErr w:type="spellStart"/>
            <w:r w:rsidRPr="00B84546">
              <w:t>УрОРАН</w:t>
            </w:r>
            <w:proofErr w:type="spellEnd"/>
            <w:r w:rsidRPr="00B84546">
              <w:t>, Свердло</w:t>
            </w:r>
            <w:r w:rsidRPr="00B84546">
              <w:t>в</w:t>
            </w:r>
            <w:r w:rsidRPr="00B84546">
              <w:t>ская региональная ассоциация выпускников През</w:t>
            </w:r>
            <w:r w:rsidRPr="00B84546">
              <w:t>и</w:t>
            </w:r>
            <w:r w:rsidRPr="00B84546">
              <w:t>дентской программы, Уполномоченный по защите прав предпринимателей в Свердловской области, Экспертная группа «Условия ведения бизнеса» Коо</w:t>
            </w:r>
            <w:r w:rsidRPr="00B84546">
              <w:t>р</w:t>
            </w:r>
            <w:r w:rsidRPr="00B84546">
              <w:t>динационного совета по оценке регулирующего во</w:t>
            </w:r>
            <w:r w:rsidRPr="00B84546">
              <w:t>з</w:t>
            </w:r>
            <w:r w:rsidRPr="00B84546">
              <w:t>действия</w:t>
            </w:r>
            <w:r>
              <w:t>, крестьянское (фермерское) хозяйство</w:t>
            </w:r>
            <w:proofErr w:type="gramEnd"/>
            <w:r>
              <w:t xml:space="preserve"> «З</w:t>
            </w:r>
            <w:r>
              <w:t>а</w:t>
            </w:r>
            <w:r>
              <w:t>ветное», 94 муниципальных образования, крестья</w:t>
            </w:r>
            <w:r>
              <w:t>н</w:t>
            </w:r>
            <w:r>
              <w:t>ское хозяйство «</w:t>
            </w:r>
            <w:proofErr w:type="spellStart"/>
            <w:r>
              <w:t>Харланово</w:t>
            </w:r>
            <w:proofErr w:type="spellEnd"/>
            <w:r>
              <w:t>», сельскохозяйственный производственный кооператив «</w:t>
            </w:r>
            <w:proofErr w:type="spellStart"/>
            <w:r>
              <w:t>Уралагроснабсбыт</w:t>
            </w:r>
            <w:proofErr w:type="spellEnd"/>
            <w:r>
              <w:t>», Региональное отделение общественной организаций политической партии «Возрождение аграрной Ро</w:t>
            </w:r>
            <w:r>
              <w:t>с</w:t>
            </w:r>
            <w:r>
              <w:t xml:space="preserve">сии», </w:t>
            </w:r>
            <w:proofErr w:type="spellStart"/>
            <w:r>
              <w:t>Шляпиков</w:t>
            </w:r>
            <w:proofErr w:type="spellEnd"/>
            <w:r>
              <w:t xml:space="preserve"> А.Э., Красиков Н.А.</w:t>
            </w: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Pr="00B84546" w:rsidRDefault="00103957" w:rsidP="007422C9">
            <w:pPr>
              <w:jc w:val="both"/>
            </w:pPr>
          </w:p>
        </w:tc>
      </w:tr>
      <w:tr w:rsidR="00103957" w:rsidRPr="00886216" w:rsidTr="00103957">
        <w:tc>
          <w:tcPr>
            <w:tcW w:w="823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3</w:t>
            </w:r>
          </w:p>
        </w:tc>
        <w:tc>
          <w:tcPr>
            <w:tcW w:w="4110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Количество участников публичных консул</w:t>
            </w:r>
            <w:r w:rsidRPr="00B84546">
              <w:t>ь</w:t>
            </w:r>
            <w:r w:rsidRPr="00B84546">
              <w:t>таций (направивших мнения о пр</w:t>
            </w:r>
            <w:r w:rsidRPr="00B84546">
              <w:t>о</w:t>
            </w:r>
            <w:r w:rsidRPr="00B84546">
              <w:t>екте НПА)</w:t>
            </w:r>
          </w:p>
        </w:tc>
        <w:tc>
          <w:tcPr>
            <w:tcW w:w="5777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>
              <w:t>36</w:t>
            </w:r>
          </w:p>
        </w:tc>
      </w:tr>
      <w:tr w:rsidR="00103957" w:rsidRPr="00886216" w:rsidTr="00103957">
        <w:tc>
          <w:tcPr>
            <w:tcW w:w="823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4</w:t>
            </w:r>
          </w:p>
        </w:tc>
        <w:tc>
          <w:tcPr>
            <w:tcW w:w="4110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Количество поступивших предлож</w:t>
            </w:r>
            <w:r w:rsidRPr="00B84546">
              <w:t>е</w:t>
            </w:r>
            <w:r w:rsidRPr="00B84546">
              <w:t>ний от участников публичных ко</w:t>
            </w:r>
            <w:r w:rsidRPr="00B84546">
              <w:t>н</w:t>
            </w:r>
            <w:r w:rsidRPr="00B84546">
              <w:t>сультаций/ количество мнений о поддержке акта</w:t>
            </w:r>
          </w:p>
        </w:tc>
        <w:tc>
          <w:tcPr>
            <w:tcW w:w="5777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>
              <w:t>145/18</w:t>
            </w:r>
          </w:p>
        </w:tc>
      </w:tr>
      <w:tr w:rsidR="00103957" w:rsidRPr="00886216" w:rsidTr="00103957">
        <w:tc>
          <w:tcPr>
            <w:tcW w:w="823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lastRenderedPageBreak/>
              <w:t>5</w:t>
            </w:r>
          </w:p>
        </w:tc>
        <w:tc>
          <w:tcPr>
            <w:tcW w:w="4110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Количество учтённых предложений участников публичных ко</w:t>
            </w:r>
            <w:r w:rsidRPr="00B84546">
              <w:t>н</w:t>
            </w:r>
            <w:r w:rsidRPr="00B84546">
              <w:t>сультаций</w:t>
            </w:r>
          </w:p>
        </w:tc>
        <w:tc>
          <w:tcPr>
            <w:tcW w:w="5777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>
              <w:t>127</w:t>
            </w:r>
          </w:p>
        </w:tc>
      </w:tr>
      <w:tr w:rsidR="00103957" w:rsidRPr="00886216" w:rsidTr="00103957">
        <w:tc>
          <w:tcPr>
            <w:tcW w:w="823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6</w:t>
            </w:r>
          </w:p>
        </w:tc>
        <w:tc>
          <w:tcPr>
            <w:tcW w:w="4110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Количество частично учтённых предлож</w:t>
            </w:r>
            <w:r w:rsidRPr="00B84546">
              <w:t>е</w:t>
            </w:r>
            <w:r w:rsidRPr="00B84546">
              <w:t>ний участников публичных консультаций, наличие обоснований н</w:t>
            </w:r>
            <w:r w:rsidRPr="00B84546">
              <w:t>е</w:t>
            </w:r>
            <w:r w:rsidRPr="00B84546">
              <w:t>полного учета</w:t>
            </w:r>
          </w:p>
        </w:tc>
        <w:tc>
          <w:tcPr>
            <w:tcW w:w="5777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>
              <w:t>2</w:t>
            </w:r>
          </w:p>
        </w:tc>
      </w:tr>
      <w:tr w:rsidR="00103957" w:rsidRPr="00886216" w:rsidTr="00103957">
        <w:tc>
          <w:tcPr>
            <w:tcW w:w="823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7</w:t>
            </w:r>
          </w:p>
        </w:tc>
        <w:tc>
          <w:tcPr>
            <w:tcW w:w="4110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Количество отклонённых предлож</w:t>
            </w:r>
            <w:r w:rsidRPr="00B84546">
              <w:t>е</w:t>
            </w:r>
            <w:r w:rsidRPr="00B84546">
              <w:t>ний участников публичных консул</w:t>
            </w:r>
            <w:r w:rsidRPr="00B84546">
              <w:t>ь</w:t>
            </w:r>
            <w:r w:rsidRPr="00B84546">
              <w:t>таций, наличие обоснований отклонения пре</w:t>
            </w:r>
            <w:r w:rsidRPr="00B84546">
              <w:t>д</w:t>
            </w:r>
            <w:r w:rsidRPr="00B84546">
              <w:t xml:space="preserve">ложений </w:t>
            </w:r>
            <w:r w:rsidRPr="00B84546">
              <w:br/>
              <w:t>о доработке проектов актов</w:t>
            </w:r>
          </w:p>
        </w:tc>
        <w:tc>
          <w:tcPr>
            <w:tcW w:w="5777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>
              <w:t>16</w:t>
            </w:r>
          </w:p>
        </w:tc>
      </w:tr>
      <w:tr w:rsidR="00103957" w:rsidRPr="00886216" w:rsidTr="00103957">
        <w:tc>
          <w:tcPr>
            <w:tcW w:w="823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8</w:t>
            </w:r>
          </w:p>
        </w:tc>
        <w:tc>
          <w:tcPr>
            <w:tcW w:w="4110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Количество обращений (жалоб), поступи</w:t>
            </w:r>
            <w:r w:rsidRPr="00B84546">
              <w:t>в</w:t>
            </w:r>
            <w:r w:rsidRPr="00B84546">
              <w:t>ших от участников публичных ко</w:t>
            </w:r>
            <w:r w:rsidRPr="00B84546">
              <w:t>н</w:t>
            </w:r>
            <w:r w:rsidRPr="00B84546">
              <w:t>сультаций</w:t>
            </w:r>
          </w:p>
        </w:tc>
        <w:tc>
          <w:tcPr>
            <w:tcW w:w="5777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>
              <w:t>0</w:t>
            </w:r>
          </w:p>
        </w:tc>
      </w:tr>
      <w:tr w:rsidR="00103957" w:rsidRPr="00886216" w:rsidTr="00103957">
        <w:tc>
          <w:tcPr>
            <w:tcW w:w="823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9</w:t>
            </w:r>
          </w:p>
        </w:tc>
        <w:tc>
          <w:tcPr>
            <w:tcW w:w="4110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Результаты рассмотрения обращений (жалоб) участников публичных ко</w:t>
            </w:r>
            <w:r w:rsidRPr="00B84546">
              <w:t>н</w:t>
            </w:r>
            <w:r w:rsidRPr="00B84546">
              <w:t>сультаций исполнительным органом государственной власти Свердло</w:t>
            </w:r>
            <w:r w:rsidRPr="00B84546">
              <w:t>в</w:t>
            </w:r>
            <w:r w:rsidRPr="00B84546">
              <w:t>ской области</w:t>
            </w:r>
          </w:p>
        </w:tc>
        <w:tc>
          <w:tcPr>
            <w:tcW w:w="5777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>
              <w:t>0</w:t>
            </w:r>
          </w:p>
        </w:tc>
      </w:tr>
      <w:tr w:rsidR="00103957" w:rsidRPr="00886216" w:rsidTr="00103957">
        <w:tc>
          <w:tcPr>
            <w:tcW w:w="823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10</w:t>
            </w:r>
          </w:p>
        </w:tc>
        <w:tc>
          <w:tcPr>
            <w:tcW w:w="4110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 xml:space="preserve">Информация о соблюдении сроков размещения итоговых документов ОРВ (заключений </w:t>
            </w:r>
            <w:r w:rsidRPr="00B84546">
              <w:br/>
              <w:t>и сводок предложений) на официал</w:t>
            </w:r>
            <w:r w:rsidRPr="00B84546">
              <w:t>ь</w:t>
            </w:r>
            <w:r w:rsidRPr="00B84546">
              <w:t>ном сайте для публичных консульт</w:t>
            </w:r>
            <w:r w:rsidRPr="00B84546">
              <w:t>а</w:t>
            </w:r>
            <w:r w:rsidRPr="00B84546">
              <w:t>ций</w:t>
            </w:r>
          </w:p>
        </w:tc>
        <w:tc>
          <w:tcPr>
            <w:tcW w:w="5777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В установленные сроки</w:t>
            </w:r>
          </w:p>
        </w:tc>
      </w:tr>
      <w:tr w:rsidR="00103957" w:rsidRPr="00886216" w:rsidTr="00103957">
        <w:tc>
          <w:tcPr>
            <w:tcW w:w="823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11</w:t>
            </w:r>
          </w:p>
        </w:tc>
        <w:tc>
          <w:tcPr>
            <w:tcW w:w="4110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Реквизиты принятых нормативных правовых актов, принятых по резул</w:t>
            </w:r>
            <w:r w:rsidRPr="00B84546">
              <w:t>ь</w:t>
            </w:r>
            <w:r w:rsidRPr="00B84546">
              <w:t>татам ОРВ</w:t>
            </w:r>
          </w:p>
          <w:p w:rsidR="00103957" w:rsidRPr="00B84546" w:rsidRDefault="00103957" w:rsidP="007422C9">
            <w:pPr>
              <w:jc w:val="both"/>
            </w:pPr>
          </w:p>
        </w:tc>
        <w:tc>
          <w:tcPr>
            <w:tcW w:w="5777" w:type="dxa"/>
            <w:shd w:val="clear" w:color="auto" w:fill="auto"/>
          </w:tcPr>
          <w:p w:rsidR="00103957" w:rsidRDefault="00103957" w:rsidP="007422C9">
            <w:pPr>
              <w:jc w:val="both"/>
            </w:pPr>
            <w:r w:rsidRPr="00B84546">
              <w:t xml:space="preserve">Постановления Правительства Свердловской области от </w:t>
            </w:r>
            <w:r>
              <w:t>15.02.2017 № 76-ПП, от 15.02.2017 № 77-ПП, от 15.02.2017 №№ 78-ПП, от 27.04.2017 № 307-ПП, от 12.05.2017 № 313-ПП, 17.03.2017 № 157-ПП, от 17.03.2017 № 158-ПП, 17.03.2017 № 156-ПП, 12.05.2017 № 314-ПП, 18.06.2017 № 465-ПП, 31.05.2017 № 383-ПП,31.05.2017 № 370-ПП, 22.06.2017 № 435-ПП, приказ Министерства агр</w:t>
            </w:r>
            <w:r>
              <w:t>о</w:t>
            </w:r>
            <w:r>
              <w:t>промышленного комплекса и продовольствия Свер</w:t>
            </w:r>
            <w:r>
              <w:t>д</w:t>
            </w:r>
            <w:r>
              <w:t xml:space="preserve">ловской области </w:t>
            </w:r>
            <w:proofErr w:type="gramStart"/>
            <w:r>
              <w:t>от</w:t>
            </w:r>
            <w:proofErr w:type="gramEnd"/>
            <w:r>
              <w:t xml:space="preserve"> 31.03.2017 № 129.</w:t>
            </w: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Default="00103957" w:rsidP="007422C9">
            <w:pPr>
              <w:jc w:val="both"/>
            </w:pPr>
          </w:p>
          <w:p w:rsidR="00103957" w:rsidRPr="00B84546" w:rsidRDefault="00103957" w:rsidP="007422C9">
            <w:pPr>
              <w:jc w:val="both"/>
            </w:pPr>
          </w:p>
        </w:tc>
      </w:tr>
      <w:tr w:rsidR="00103957" w:rsidRPr="00886216" w:rsidTr="00103957">
        <w:tc>
          <w:tcPr>
            <w:tcW w:w="823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12</w:t>
            </w:r>
          </w:p>
        </w:tc>
        <w:tc>
          <w:tcPr>
            <w:tcW w:w="4110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Иные сведения о проведении ОРВ</w:t>
            </w:r>
          </w:p>
        </w:tc>
        <w:tc>
          <w:tcPr>
            <w:tcW w:w="5777" w:type="dxa"/>
            <w:shd w:val="clear" w:color="auto" w:fill="auto"/>
          </w:tcPr>
          <w:p w:rsidR="00103957" w:rsidRPr="00B84546" w:rsidRDefault="00103957" w:rsidP="007422C9">
            <w:pPr>
              <w:jc w:val="both"/>
            </w:pPr>
            <w:r w:rsidRPr="00B84546">
              <w:t>нет</w:t>
            </w:r>
          </w:p>
        </w:tc>
      </w:tr>
    </w:tbl>
    <w:p w:rsidR="009E0775" w:rsidRDefault="00103957"/>
    <w:sectPr w:rsidR="009E0775" w:rsidSect="00103957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57"/>
    <w:rsid w:val="00103957"/>
    <w:rsid w:val="00A60124"/>
    <w:rsid w:val="00E6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 Анатолий Борисович</dc:creator>
  <cp:lastModifiedBy>Тараканов Анатолий Борисович</cp:lastModifiedBy>
  <cp:revision>1</cp:revision>
  <dcterms:created xsi:type="dcterms:W3CDTF">2017-07-07T04:13:00Z</dcterms:created>
  <dcterms:modified xsi:type="dcterms:W3CDTF">2017-07-07T04:15:00Z</dcterms:modified>
</cp:coreProperties>
</file>