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A9" w:rsidRPr="004C0FA9" w:rsidRDefault="00EC1FB6" w:rsidP="00EC1FB6">
      <w:pPr>
        <w:spacing w:before="53" w:after="0" w:line="274" w:lineRule="exact"/>
        <w:ind w:right="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СВОДКА ПРЕДЛОЖЕНИЙ</w:t>
      </w:r>
      <w:r>
        <w:rPr>
          <w:rFonts w:ascii="Times New Roman" w:eastAsia="Times New Roman" w:hAnsi="Times New Roman" w:cs="Times New Roman"/>
          <w:b/>
          <w:bCs/>
        </w:rPr>
        <w:br/>
      </w:r>
      <w:r w:rsidR="004C0FA9" w:rsidRPr="004C0FA9">
        <w:rPr>
          <w:rFonts w:ascii="Times New Roman" w:eastAsia="Times New Roman" w:hAnsi="Times New Roman" w:cs="Times New Roman"/>
          <w:b/>
          <w:bCs/>
        </w:rPr>
        <w:t>по результатам публичных консультаций по проекту постановления Правительства Свердловской области «О проведении отбора субъектов инвестиционной деятельности на право предоставления государственных гарантий Свердловской области в 2015 году»</w:t>
      </w:r>
    </w:p>
    <w:p w:rsidR="004C0FA9" w:rsidRPr="004C0FA9" w:rsidRDefault="004C0FA9" w:rsidP="00CE339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C0FA9" w:rsidRPr="004C0FA9" w:rsidRDefault="004C0FA9" w:rsidP="004C0FA9">
      <w:pPr>
        <w:spacing w:before="1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9938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3167"/>
        <w:gridCol w:w="4252"/>
        <w:gridCol w:w="7890"/>
        <w:gridCol w:w="4252"/>
      </w:tblGrid>
      <w:tr w:rsidR="00F712D3" w:rsidRPr="004C0FA9" w:rsidTr="00385E85">
        <w:trPr>
          <w:gridAfter w:val="1"/>
          <w:wAfter w:w="4252" w:type="dxa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2D3" w:rsidRPr="004C0FA9" w:rsidRDefault="00F712D3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FA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2D3" w:rsidRDefault="00997CC5" w:rsidP="0038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участника публичных консультаций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2D3" w:rsidRPr="004C0FA9" w:rsidRDefault="00997CC5" w:rsidP="0038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2D3" w:rsidRPr="004C0FA9" w:rsidRDefault="00F712D3" w:rsidP="00385E85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</w:rPr>
            </w:pPr>
            <w:r w:rsidRPr="004C0FA9">
              <w:rPr>
                <w:rFonts w:ascii="Times New Roman" w:eastAsia="Times New Roman" w:hAnsi="Times New Roman" w:cs="Times New Roman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997CC5" w:rsidRPr="004C0FA9" w:rsidTr="00385E85">
        <w:trPr>
          <w:gridAfter w:val="1"/>
          <w:wAfter w:w="4252" w:type="dxa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C5" w:rsidRPr="004C0FA9" w:rsidRDefault="00997CC5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5" w:rsidRPr="004C0FA9" w:rsidRDefault="00F37718" w:rsidP="0038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отношении проекта</w:t>
            </w:r>
            <w:r w:rsidR="00997CC5" w:rsidRPr="004C0FA9">
              <w:rPr>
                <w:rFonts w:ascii="Times New Roman" w:eastAsia="Times New Roman" w:hAnsi="Times New Roman" w:cs="Times New Roman"/>
                <w:b/>
                <w:bCs/>
              </w:rPr>
              <w:t xml:space="preserve"> Постановления Правительства Свердловской области «О проведении отбора субъектов инвестиционной деятельности на право предоставления государственных гарантий Св</w:t>
            </w:r>
            <w:r w:rsidR="00997CC5">
              <w:rPr>
                <w:rFonts w:ascii="Times New Roman" w:eastAsia="Times New Roman" w:hAnsi="Times New Roman" w:cs="Times New Roman"/>
                <w:b/>
                <w:bCs/>
              </w:rPr>
              <w:t>ердловской области в 2015 году»</w:t>
            </w:r>
          </w:p>
        </w:tc>
      </w:tr>
      <w:tr w:rsidR="00CE3397" w:rsidRPr="004C0FA9" w:rsidTr="00385E85">
        <w:trPr>
          <w:gridAfter w:val="1"/>
          <w:wAfter w:w="4252" w:type="dxa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397" w:rsidRPr="004C0FA9" w:rsidRDefault="00CE3397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CC5" w:rsidRDefault="00997CC5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областной союз промышленников и предпринимателей,</w:t>
            </w:r>
          </w:p>
          <w:p w:rsidR="00997CC5" w:rsidRPr="00213B12" w:rsidRDefault="00997CC5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3397" w:rsidRPr="004C0FA9" w:rsidRDefault="00997CC5" w:rsidP="00385E85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97" w:rsidRPr="004C0FA9" w:rsidRDefault="00CE3397" w:rsidP="00385E85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</w:rPr>
            </w:pPr>
            <w:r w:rsidRPr="004C0FA9">
              <w:rPr>
                <w:rFonts w:ascii="Times New Roman" w:eastAsia="Times New Roman" w:hAnsi="Times New Roman" w:cs="Times New Roman"/>
              </w:rPr>
              <w:t xml:space="preserve">1. </w:t>
            </w:r>
            <w:r w:rsidR="00BA0C64" w:rsidRPr="0047408B">
              <w:rPr>
                <w:rFonts w:ascii="Times New Roman" w:eastAsia="Times New Roman" w:hAnsi="Times New Roman" w:cs="Times New Roman"/>
              </w:rPr>
              <w:t>В тексте Постановления не упоминается ни Инвестиционная стратегия Свердловской области, ни конструкция «приоритетные инвестиционные проекты».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97" w:rsidRPr="00142657" w:rsidRDefault="00CE339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0276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="005E4301">
              <w:rPr>
                <w:rFonts w:ascii="Times New Roman" w:eastAsia="Times New Roman" w:hAnsi="Times New Roman" w:cs="Times New Roman"/>
                <w:b/>
              </w:rPr>
              <w:t>Учтено</w:t>
            </w:r>
            <w:r w:rsidR="001426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42657" w:rsidRPr="00142657">
              <w:rPr>
                <w:rFonts w:ascii="Times New Roman" w:eastAsia="Times New Roman" w:hAnsi="Times New Roman" w:cs="Times New Roman"/>
              </w:rPr>
              <w:t xml:space="preserve">в преамбуле </w:t>
            </w:r>
            <w:r w:rsidR="00142657" w:rsidRPr="00142657">
              <w:rPr>
                <w:rFonts w:ascii="Times New Roman" w:eastAsia="Times New Roman" w:hAnsi="Times New Roman" w:cs="Times New Roman"/>
                <w:bCs/>
              </w:rPr>
              <w:t>проект</w:t>
            </w:r>
            <w:r w:rsidR="00142657" w:rsidRPr="00142657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142657" w:rsidRPr="00142657">
              <w:rPr>
                <w:rFonts w:ascii="Times New Roman" w:eastAsia="Times New Roman" w:hAnsi="Times New Roman" w:cs="Times New Roman"/>
                <w:bCs/>
              </w:rPr>
              <w:t xml:space="preserve"> постановления Правительства Свердловской области</w:t>
            </w:r>
          </w:p>
          <w:p w:rsidR="00CE3397" w:rsidRDefault="00CE339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3397" w:rsidRPr="004C0FA9" w:rsidTr="00385E85">
        <w:trPr>
          <w:gridAfter w:val="1"/>
          <w:wAfter w:w="4252" w:type="dxa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397" w:rsidRPr="004C0FA9" w:rsidRDefault="00CE3397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областной союз промышленников и предпринимателей,</w:t>
            </w:r>
          </w:p>
          <w:p w:rsidR="00213B12" w:rsidRP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3397" w:rsidRPr="004C0FA9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97" w:rsidRPr="004C0FA9" w:rsidRDefault="00CE339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FA9">
              <w:rPr>
                <w:rFonts w:ascii="Times New Roman" w:eastAsia="Times New Roman" w:hAnsi="Times New Roman" w:cs="Times New Roman"/>
              </w:rPr>
              <w:t>2. В пункте 3 перечислены все возможные направления инвестирования, без установления каких-либо приоритетов. Как минимум, три из перечисленных направлений не входят в число пр</w:t>
            </w:r>
            <w:r>
              <w:rPr>
                <w:rFonts w:ascii="Times New Roman" w:eastAsia="Times New Roman" w:hAnsi="Times New Roman" w:cs="Times New Roman"/>
              </w:rPr>
              <w:t>иоритетов Свердловской области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97" w:rsidRPr="00EC5218" w:rsidRDefault="00BC4CC0" w:rsidP="00385E85">
            <w:pPr>
              <w:numPr>
                <w:ilvl w:val="0"/>
                <w:numId w:val="14"/>
              </w:num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Учтено</w:t>
            </w:r>
            <w:r w:rsidR="001426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42657" w:rsidRPr="00142657">
              <w:rPr>
                <w:rFonts w:ascii="Times New Roman" w:eastAsia="Times New Roman" w:hAnsi="Times New Roman" w:cs="Times New Roman"/>
              </w:rPr>
              <w:t xml:space="preserve">в преамбуле </w:t>
            </w:r>
            <w:r w:rsidR="00142657" w:rsidRPr="00142657">
              <w:rPr>
                <w:rFonts w:ascii="Times New Roman" w:eastAsia="Times New Roman" w:hAnsi="Times New Roman" w:cs="Times New Roman"/>
                <w:bCs/>
              </w:rPr>
              <w:t>проекта постановления Правительства Свердловской области</w:t>
            </w:r>
          </w:p>
          <w:p w:rsidR="00CE3397" w:rsidRPr="00710276" w:rsidRDefault="00CE3397" w:rsidP="00385E85">
            <w:pPr>
              <w:tabs>
                <w:tab w:val="left" w:pos="2237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3397" w:rsidRPr="004C0FA9" w:rsidTr="00385E85">
        <w:trPr>
          <w:gridAfter w:val="1"/>
          <w:wAfter w:w="4252" w:type="dxa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397" w:rsidRPr="004C0FA9" w:rsidRDefault="00CE3397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областной союз промышленников и предпринимателей,</w:t>
            </w:r>
          </w:p>
          <w:p w:rsidR="00213B12" w:rsidRP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3397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97" w:rsidRPr="004C0FA9" w:rsidRDefault="00CE339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710276">
              <w:rPr>
                <w:rFonts w:ascii="Times New Roman" w:eastAsia="Times New Roman" w:hAnsi="Times New Roman" w:cs="Times New Roman"/>
              </w:rPr>
              <w:t>Установление процедур по выдаче гарантий требует определения минимального и максимального сроков действия гарантии. Следует установить минимальный срок, на который может быть выдана гарантия, - это пять лет, максимальный – 15 лет.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97" w:rsidRDefault="00CE3397" w:rsidP="00385E85">
            <w:pPr>
              <w:numPr>
                <w:ilvl w:val="0"/>
                <w:numId w:val="14"/>
              </w:num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 учтено.</w:t>
            </w:r>
          </w:p>
          <w:p w:rsidR="00CE3397" w:rsidRDefault="00142657" w:rsidP="00385E85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Поскольку</w:t>
            </w:r>
            <w:r w:rsidR="005B3BAE">
              <w:rPr>
                <w:rFonts w:ascii="Times New Roman" w:eastAsia="Times New Roman" w:hAnsi="Times New Roman" w:cs="Times New Roman"/>
              </w:rPr>
              <w:t xml:space="preserve"> срок действия государственной гарантии соответствует сроку действия соответствующего гражданско-правового договора, в обеспечение которого она предоставляется, срок действия государственной гарантии устанавливается индивидуально.</w:t>
            </w:r>
          </w:p>
          <w:p w:rsidR="00543CFF" w:rsidRDefault="00543CFF" w:rsidP="00385E85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Данное замечание учтено при подготовке изменений в Закон Свердловской области от  30.06.2006 № 43-ОЗ, в частности ст. 10 дополнена пунктом 1-1, следующего содержания: «</w:t>
            </w:r>
            <w:r w:rsidRPr="00543CFF">
              <w:rPr>
                <w:rFonts w:ascii="Times New Roman" w:eastAsia="Times New Roman" w:hAnsi="Times New Roman" w:cs="Times New Roman"/>
              </w:rPr>
              <w:t>Срок действия государственной гарантии Свердловской области определяется исходя из срока исполнения обязательств по кредитному договору (договору займа), обеспеченных государственной</w:t>
            </w:r>
            <w:r>
              <w:rPr>
                <w:rFonts w:ascii="Times New Roman" w:eastAsia="Times New Roman" w:hAnsi="Times New Roman" w:cs="Times New Roman"/>
              </w:rPr>
              <w:t xml:space="preserve"> гарантией Свердловской области.».</w:t>
            </w:r>
          </w:p>
          <w:p w:rsidR="00142657" w:rsidRPr="00710276" w:rsidRDefault="00142657" w:rsidP="00142657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Предложение ввести срок предоставления государственной гарантии «5 лет» вводит для </w:t>
            </w:r>
            <w:r w:rsidRPr="00142657">
              <w:rPr>
                <w:rStyle w:val="FontStyle16"/>
              </w:rPr>
              <w:t>субъектов предпринимательской деятельности избыточны</w:t>
            </w:r>
            <w:r w:rsidRPr="00142657">
              <w:rPr>
                <w:rStyle w:val="FontStyle16"/>
              </w:rPr>
              <w:t>е</w:t>
            </w:r>
            <w:r w:rsidRPr="00142657">
              <w:rPr>
                <w:rStyle w:val="FontStyle16"/>
              </w:rPr>
              <w:t xml:space="preserve"> ограничени</w:t>
            </w:r>
            <w:r w:rsidRPr="00142657">
              <w:rPr>
                <w:rStyle w:val="FontStyle16"/>
              </w:rPr>
              <w:t>я</w:t>
            </w:r>
          </w:p>
        </w:tc>
      </w:tr>
      <w:tr w:rsidR="00CE3397" w:rsidRPr="004C0FA9" w:rsidTr="00385E85">
        <w:trPr>
          <w:gridAfter w:val="1"/>
          <w:wAfter w:w="4252" w:type="dxa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397" w:rsidRPr="004C0FA9" w:rsidRDefault="00CE3397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областной союз промышленников и предпринимателей,</w:t>
            </w:r>
          </w:p>
          <w:p w:rsidR="00213B12" w:rsidRP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3397" w:rsidRDefault="00213B12" w:rsidP="00213B12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 xml:space="preserve">Свердловское региональное отделение Общероссийской </w:t>
            </w:r>
            <w:r w:rsidRPr="00F60C1A">
              <w:rPr>
                <w:rFonts w:ascii="Times New Roman" w:eastAsia="Times New Roman" w:hAnsi="Times New Roman" w:cs="Times New Roman"/>
              </w:rPr>
              <w:lastRenderedPageBreak/>
              <w:t>общественной организации «Деловая Россия»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97" w:rsidRPr="004C0FA9" w:rsidRDefault="00CE3397" w:rsidP="00385E8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  <w:r w:rsidR="00B36839">
              <w:rPr>
                <w:rFonts w:ascii="Times New Roman" w:eastAsia="Times New Roman" w:hAnsi="Times New Roman" w:cs="Times New Roman"/>
              </w:rPr>
              <w:t xml:space="preserve">В пункте 3, и в пункте 5 </w:t>
            </w:r>
            <w:r w:rsidR="00B36839" w:rsidRPr="0047408B">
              <w:rPr>
                <w:rFonts w:ascii="Times New Roman" w:eastAsia="Times New Roman" w:hAnsi="Times New Roman" w:cs="Times New Roman"/>
              </w:rPr>
              <w:t>Постановления неоправданно, сужен предмет инвестиционных проектов – только модернизация промышленного производства, исключив реконструкцию и новое строительство;</w:t>
            </w:r>
            <w:r w:rsidR="00B36839">
              <w:rPr>
                <w:rFonts w:ascii="Times New Roman" w:eastAsia="Times New Roman" w:hAnsi="Times New Roman" w:cs="Times New Roman"/>
              </w:rPr>
              <w:t xml:space="preserve"> строительство и </w:t>
            </w:r>
            <w:r w:rsidR="00B36839">
              <w:rPr>
                <w:rFonts w:ascii="Times New Roman" w:eastAsia="Times New Roman" w:hAnsi="Times New Roman" w:cs="Times New Roman"/>
              </w:rPr>
              <w:lastRenderedPageBreak/>
              <w:t xml:space="preserve">реконструкцию </w:t>
            </w:r>
            <w:r w:rsidR="00B36839" w:rsidRPr="0047408B">
              <w:rPr>
                <w:rFonts w:ascii="Times New Roman" w:eastAsia="Times New Roman" w:hAnsi="Times New Roman" w:cs="Times New Roman"/>
              </w:rPr>
              <w:t>по указанным направлениям, исключив, при этом уже, модернизацию.</w:t>
            </w:r>
          </w:p>
          <w:p w:rsidR="00CE3397" w:rsidRDefault="00CE339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97" w:rsidRDefault="00CE339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0276">
              <w:rPr>
                <w:rFonts w:ascii="Times New Roman" w:eastAsia="Times New Roman" w:hAnsi="Times New Roman" w:cs="Times New Roman"/>
                <w:b/>
              </w:rPr>
              <w:lastRenderedPageBreak/>
              <w:t>4. Не учтено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0284A" w:rsidRDefault="00B0284A" w:rsidP="00B0284A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программой государственных гарантий Свердловской области, утвержденной Законом Свердловской области от </w:t>
            </w:r>
            <w:r w:rsidRPr="00B0284A">
              <w:rPr>
                <w:rFonts w:eastAsia="Times New Roman"/>
              </w:rPr>
              <w:t xml:space="preserve">03.12.2014 </w:t>
            </w:r>
            <w:r>
              <w:rPr>
                <w:rFonts w:eastAsia="Times New Roman"/>
              </w:rPr>
              <w:t>№</w:t>
            </w:r>
            <w:r w:rsidRPr="00B0284A">
              <w:rPr>
                <w:rFonts w:eastAsia="Times New Roman"/>
              </w:rPr>
              <w:t xml:space="preserve"> 111-ОЗ</w:t>
            </w:r>
            <w:r>
              <w:rPr>
                <w:rFonts w:eastAsia="Times New Roman"/>
              </w:rPr>
              <w:t xml:space="preserve"> </w:t>
            </w:r>
            <w:r w:rsidRPr="00B0284A">
              <w:rPr>
                <w:rFonts w:eastAsia="Times New Roman"/>
              </w:rPr>
              <w:t>"Об областном бюджете на 2015 год и плановый период 2016 и 2017 годов"</w:t>
            </w:r>
            <w:r>
              <w:rPr>
                <w:rFonts w:eastAsia="Times New Roman"/>
              </w:rPr>
              <w:t xml:space="preserve">,  </w:t>
            </w:r>
            <w:r w:rsidRPr="00B0284A">
              <w:rPr>
                <w:rFonts w:eastAsia="Times New Roman"/>
              </w:rPr>
              <w:t xml:space="preserve">государственные гарантии Свердловской области предоставляются субъектам инвестиционной деятельности для обеспечения обязательств юридических лиц, </w:t>
            </w:r>
            <w:r w:rsidRPr="00B0284A">
              <w:rPr>
                <w:rFonts w:eastAsia="Times New Roman"/>
              </w:rPr>
              <w:lastRenderedPageBreak/>
              <w:t xml:space="preserve">связанных с привлечением кредитов </w:t>
            </w:r>
            <w:r w:rsidRPr="00B0284A">
              <w:rPr>
                <w:rFonts w:eastAsia="Times New Roman"/>
                <w:i/>
              </w:rPr>
              <w:t>на реализацию инвестиционных проектов, направленных на модернизацию промышленного производства, строительство и реконструкцию жилья, объектов социальной, транспортной и коммунальной инфраструктуры</w:t>
            </w:r>
            <w:r>
              <w:rPr>
                <w:rFonts w:eastAsia="Times New Roman"/>
                <w:i/>
              </w:rPr>
              <w:t>.</w:t>
            </w:r>
          </w:p>
          <w:p w:rsidR="00142657" w:rsidRPr="00A010C0" w:rsidRDefault="00B0284A" w:rsidP="00142657">
            <w:pPr>
              <w:pStyle w:val="ConsPlusNormal"/>
              <w:jc w:val="both"/>
            </w:pPr>
            <w:r>
              <w:t>Таким образом, установление иных целей гарантирования, будет противоречить действующему региональному законодательству</w:t>
            </w:r>
            <w:r w:rsidR="00142657">
              <w:t>;</w:t>
            </w:r>
            <w:r w:rsidR="00142657">
              <w:rPr>
                <w:rFonts w:eastAsia="Times New Roman"/>
              </w:rPr>
              <w:t xml:space="preserve"> предложенные изменения касаются иного документа, не относящегося к проекту, разработанному Мининвестиций.</w:t>
            </w:r>
          </w:p>
        </w:tc>
      </w:tr>
      <w:tr w:rsidR="00CE3397" w:rsidRPr="004C0FA9" w:rsidTr="00385E85">
        <w:trPr>
          <w:gridAfter w:val="1"/>
          <w:wAfter w:w="4252" w:type="dxa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397" w:rsidRPr="004C0FA9" w:rsidRDefault="00CE3397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областной союз промышленников и предпринимателей,</w:t>
            </w:r>
          </w:p>
          <w:p w:rsidR="00213B12" w:rsidRP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3397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97" w:rsidRPr="004C0FA9" w:rsidRDefault="00CE339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="004E418A">
              <w:rPr>
                <w:rFonts w:ascii="Times New Roman" w:eastAsia="Times New Roman" w:hAnsi="Times New Roman" w:cs="Times New Roman"/>
              </w:rPr>
              <w:t xml:space="preserve">пункт 6 </w:t>
            </w:r>
            <w:r w:rsidR="004E418A" w:rsidRPr="00F712D3">
              <w:rPr>
                <w:rFonts w:ascii="Times New Roman" w:eastAsia="Times New Roman" w:hAnsi="Times New Roman" w:cs="Times New Roman"/>
              </w:rPr>
              <w:t>Постановления сформулирован некорректно, из текста следует, предлагаемое количество гарантий – три, неприемлемо, более того, сам подход к определению суммы гарантии представляется неправильным. Следует существенно понизить нижний порог – до 100 млн. рублей, а верхний порог установить в сумме 300 млн. рублей, соответственно, количество гарантий – до 10 штук. Это, очевидно, будет положительный шаг в сторону МС</w:t>
            </w:r>
            <w:r w:rsidR="004E418A">
              <w:rPr>
                <w:rFonts w:ascii="Times New Roman" w:eastAsia="Times New Roman" w:hAnsi="Times New Roman" w:cs="Times New Roman"/>
              </w:rPr>
              <w:t>П</w:t>
            </w:r>
            <w:r w:rsidR="004E418A" w:rsidRPr="00F712D3">
              <w:rPr>
                <w:rFonts w:ascii="Times New Roman" w:eastAsia="Times New Roman" w:hAnsi="Times New Roman" w:cs="Times New Roman"/>
              </w:rPr>
              <w:t>. До сегодняшнего дня вся эта история была только и исключительно в сторону крупного бизнеса, что представляется неприемлемым.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97" w:rsidRPr="005212C2" w:rsidRDefault="00CE339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212C2">
              <w:rPr>
                <w:rFonts w:ascii="Times New Roman" w:eastAsia="Times New Roman" w:hAnsi="Times New Roman" w:cs="Times New Roman"/>
                <w:b/>
              </w:rPr>
              <w:t>5. Не учтено.</w:t>
            </w:r>
          </w:p>
          <w:p w:rsidR="004E418A" w:rsidRPr="0047408B" w:rsidRDefault="004E418A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408B">
              <w:rPr>
                <w:rFonts w:ascii="Times New Roman" w:eastAsia="Times New Roman" w:hAnsi="Times New Roman" w:cs="Times New Roman"/>
              </w:rPr>
              <w:t>Количество государственных гарантий установлено исходя из опыта предоставления указанной меры государственной поддержки (в 2009-2014 гг)</w:t>
            </w:r>
            <w:r w:rsidR="00142657">
              <w:rPr>
                <w:rFonts w:ascii="Times New Roman" w:eastAsia="Times New Roman" w:hAnsi="Times New Roman" w:cs="Times New Roman"/>
              </w:rPr>
              <w:t xml:space="preserve"> и позволяет воспользоваться указанной мерой поддержки субъектам малого и среднего предпринимательства и крупному бизнесу</w:t>
            </w:r>
            <w:r w:rsidRPr="0047408B">
              <w:rPr>
                <w:rFonts w:ascii="Times New Roman" w:eastAsia="Times New Roman" w:hAnsi="Times New Roman" w:cs="Times New Roman"/>
              </w:rPr>
              <w:t>.</w:t>
            </w:r>
          </w:p>
          <w:p w:rsidR="004E418A" w:rsidRDefault="0014265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Вместе с тем, п</w:t>
            </w:r>
            <w:r w:rsidR="004E418A" w:rsidRPr="0047408B">
              <w:rPr>
                <w:rFonts w:ascii="Times New Roman" w:eastAsia="Times New Roman" w:hAnsi="Times New Roman" w:cs="Times New Roman"/>
              </w:rPr>
              <w:t xml:space="preserve">оддержку субъектам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</w:rPr>
              <w:t xml:space="preserve">преимущественно </w:t>
            </w:r>
            <w:r w:rsidR="004E418A" w:rsidRPr="0047408B">
              <w:rPr>
                <w:rFonts w:ascii="Times New Roman" w:eastAsia="Times New Roman" w:hAnsi="Times New Roman" w:cs="Times New Roman"/>
              </w:rPr>
              <w:t>оказывает Свердловский областной фонд поддержки предпринимательства путем предоставления денежных средств из гарантийного фонда</w:t>
            </w:r>
            <w:r w:rsidR="004E418A">
              <w:rPr>
                <w:rFonts w:ascii="Times New Roman" w:eastAsia="Times New Roman" w:hAnsi="Times New Roman" w:cs="Times New Roman"/>
              </w:rPr>
              <w:t xml:space="preserve"> (до 75 млн. рублей)</w:t>
            </w:r>
            <w:r w:rsidR="004E418A" w:rsidRPr="0047408B">
              <w:rPr>
                <w:rFonts w:ascii="Times New Roman" w:eastAsia="Times New Roman" w:hAnsi="Times New Roman" w:cs="Times New Roman"/>
              </w:rPr>
              <w:t>.</w:t>
            </w:r>
          </w:p>
          <w:p w:rsidR="00CE3397" w:rsidRDefault="0014265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CE3397" w:rsidRPr="00796E31">
              <w:rPr>
                <w:rFonts w:ascii="Times New Roman" w:eastAsia="Times New Roman" w:hAnsi="Times New Roman" w:cs="Times New Roman"/>
              </w:rPr>
              <w:t>становление нижнего порога гос</w:t>
            </w:r>
            <w:r>
              <w:rPr>
                <w:rFonts w:ascii="Times New Roman" w:eastAsia="Times New Roman" w:hAnsi="Times New Roman" w:cs="Times New Roman"/>
              </w:rPr>
              <w:t xml:space="preserve">ударственной </w:t>
            </w:r>
            <w:r w:rsidR="00CE3397" w:rsidRPr="00796E31">
              <w:rPr>
                <w:rFonts w:ascii="Times New Roman" w:eastAsia="Times New Roman" w:hAnsi="Times New Roman" w:cs="Times New Roman"/>
              </w:rPr>
              <w:t>гарантии</w:t>
            </w:r>
            <w:r w:rsidR="00CE3397">
              <w:rPr>
                <w:rFonts w:ascii="Times New Roman" w:eastAsia="Times New Roman" w:hAnsi="Times New Roman" w:cs="Times New Roman"/>
              </w:rPr>
              <w:t xml:space="preserve"> огранич</w:t>
            </w:r>
            <w:r>
              <w:rPr>
                <w:rFonts w:ascii="Times New Roman" w:eastAsia="Times New Roman" w:hAnsi="Times New Roman" w:cs="Times New Roman"/>
              </w:rPr>
              <w:t xml:space="preserve">ивает </w:t>
            </w:r>
            <w:r w:rsidR="00CE3397">
              <w:rPr>
                <w:rFonts w:ascii="Times New Roman" w:eastAsia="Times New Roman" w:hAnsi="Times New Roman" w:cs="Times New Roman"/>
              </w:rPr>
              <w:t xml:space="preserve">права хозяйствующих субъектов на участие в отборе на право предоставления гос.гарантий.  </w:t>
            </w:r>
          </w:p>
          <w:p w:rsidR="00CE3397" w:rsidRDefault="00CE339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Pr="00142657">
              <w:rPr>
                <w:rFonts w:ascii="Times New Roman" w:eastAsia="Times New Roman" w:hAnsi="Times New Roman" w:cs="Times New Roman"/>
              </w:rPr>
              <w:t>только максимального размера</w:t>
            </w:r>
            <w:r>
              <w:rPr>
                <w:rFonts w:ascii="Times New Roman" w:eastAsia="Times New Roman" w:hAnsi="Times New Roman" w:cs="Times New Roman"/>
              </w:rPr>
              <w:t xml:space="preserve"> гос.гарантий</w:t>
            </w:r>
            <w:r w:rsidR="00142657">
              <w:rPr>
                <w:rFonts w:ascii="Times New Roman" w:eastAsia="Times New Roman" w:hAnsi="Times New Roman" w:cs="Times New Roman"/>
              </w:rPr>
              <w:t xml:space="preserve"> (редакция, предлагаемая Мининвестиций)</w:t>
            </w:r>
            <w:r>
              <w:rPr>
                <w:rFonts w:ascii="Times New Roman" w:eastAsia="Times New Roman" w:hAnsi="Times New Roman" w:cs="Times New Roman"/>
              </w:rPr>
              <w:t xml:space="preserve"> не исключает возможность </w:t>
            </w:r>
            <w:r w:rsidR="00A0702A">
              <w:rPr>
                <w:rFonts w:ascii="Times New Roman" w:eastAsia="Times New Roman" w:hAnsi="Times New Roman" w:cs="Times New Roman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</w:rPr>
              <w:t>хозяйственны</w:t>
            </w:r>
            <w:r w:rsidR="00A0702A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 субъект</w:t>
            </w:r>
            <w:r w:rsidR="00A0702A">
              <w:rPr>
                <w:rFonts w:ascii="Times New Roman" w:eastAsia="Times New Roman" w:hAnsi="Times New Roman" w:cs="Times New Roman"/>
              </w:rPr>
              <w:t>ам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</w:t>
            </w:r>
            <w:r w:rsidR="00A0702A"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</w:rPr>
              <w:t xml:space="preserve"> гаранти</w:t>
            </w:r>
            <w:r w:rsidR="00A0702A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 w:rsidR="00A0702A">
              <w:rPr>
                <w:rFonts w:ascii="Times New Roman" w:eastAsia="Times New Roman" w:hAnsi="Times New Roman" w:cs="Times New Roman"/>
              </w:rPr>
              <w:t>меньшем размере.</w:t>
            </w:r>
          </w:p>
          <w:p w:rsidR="004E418A" w:rsidRPr="00B0284A" w:rsidRDefault="00142657" w:rsidP="0014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</w:t>
            </w:r>
            <w:r w:rsidR="00B0284A" w:rsidRPr="00B0284A">
              <w:rPr>
                <w:rFonts w:ascii="Times New Roman" w:eastAsia="Times New Roman" w:hAnsi="Times New Roman" w:cs="Times New Roman"/>
              </w:rPr>
              <w:t xml:space="preserve"> установлени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B0284A" w:rsidRPr="00B0284A">
              <w:rPr>
                <w:rFonts w:ascii="Times New Roman" w:eastAsia="Times New Roman" w:hAnsi="Times New Roman" w:cs="Times New Roman"/>
              </w:rPr>
              <w:t xml:space="preserve"> размера государственных гарантий с нижним порогом 100 млн. рублей и верхним порогом – 300 млн. рублей, количество государственных гарантий определяется как 4</w:t>
            </w:r>
            <w:r>
              <w:rPr>
                <w:rFonts w:ascii="Times New Roman" w:eastAsia="Times New Roman" w:hAnsi="Times New Roman" w:cs="Times New Roman"/>
              </w:rPr>
              <w:t xml:space="preserve"> (в </w:t>
            </w:r>
            <w:r>
              <w:rPr>
                <w:rFonts w:ascii="Times New Roman" w:eastAsia="Times New Roman" w:hAnsi="Times New Roman" w:cs="Times New Roman"/>
              </w:rPr>
              <w:t>редакци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, предлагаем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>
              <w:rPr>
                <w:rFonts w:ascii="Times New Roman" w:eastAsia="Times New Roman" w:hAnsi="Times New Roman" w:cs="Times New Roman"/>
              </w:rPr>
              <w:t xml:space="preserve"> Мининвестиций</w:t>
            </w:r>
            <w:r>
              <w:rPr>
                <w:rFonts w:ascii="Times New Roman" w:eastAsia="Times New Roman" w:hAnsi="Times New Roman" w:cs="Times New Roman"/>
              </w:rPr>
              <w:t xml:space="preserve"> -3)</w:t>
            </w:r>
            <w:r w:rsidR="00B0284A" w:rsidRPr="00B0284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E3397" w:rsidRPr="004C0FA9" w:rsidTr="00385E85">
        <w:trPr>
          <w:gridAfter w:val="1"/>
          <w:wAfter w:w="4252" w:type="dxa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397" w:rsidRPr="004C0FA9" w:rsidRDefault="00CE3397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областной союз промышленников и предпринимателей,</w:t>
            </w:r>
          </w:p>
          <w:p w:rsidR="00213B12" w:rsidRP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3397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97" w:rsidRDefault="00CE339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 w:rsidRPr="005212C2">
              <w:rPr>
                <w:rFonts w:ascii="Times New Roman" w:eastAsia="Times New Roman" w:hAnsi="Times New Roman" w:cs="Times New Roman"/>
              </w:rPr>
              <w:t>В п. 10 необходимо более подробно описать сделку обеспечения за выданные гарантии. Причем, следует понимать, что условие сделок по обеспечению должны быть заметно мягче, чем условия аналогичных сделок в банках.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97" w:rsidRDefault="00CE339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Не учтено.</w:t>
            </w:r>
          </w:p>
          <w:p w:rsidR="00CE3397" w:rsidRDefault="00CE339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12C2">
              <w:rPr>
                <w:rFonts w:ascii="Times New Roman" w:eastAsia="Times New Roman" w:hAnsi="Times New Roman" w:cs="Times New Roman"/>
              </w:rPr>
              <w:t>Требования к обеспечению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 устанавливаются ст.93.2 БК РФ.</w:t>
            </w:r>
          </w:p>
          <w:p w:rsidR="00CE3397" w:rsidRDefault="00CE339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Разработанный проект постановления объявляет отбор субъектов на право предоставления гос.гарантий и не является самой гос.гарантией.</w:t>
            </w:r>
          </w:p>
          <w:p w:rsidR="00536BC1" w:rsidRDefault="00462E2F" w:rsidP="00B0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залоге имущества учитывается его оценочная стоимость учитывается полностью</w:t>
            </w:r>
            <w:r w:rsidR="00B0284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в то время как банки используют пони</w:t>
            </w:r>
            <w:r w:rsidR="00B0284A"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ающий коэффициент 0,6-0,7 %.</w:t>
            </w:r>
          </w:p>
          <w:p w:rsidR="00C92F17" w:rsidRDefault="00C92F17" w:rsidP="00C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2F17">
              <w:rPr>
                <w:rFonts w:ascii="Times New Roman" w:eastAsia="Times New Roman" w:hAnsi="Times New Roman" w:cs="Times New Roman"/>
              </w:rPr>
              <w:t>Приказ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Pr="00C92F17">
              <w:rPr>
                <w:rFonts w:ascii="Times New Roman" w:eastAsia="Times New Roman" w:hAnsi="Times New Roman" w:cs="Times New Roman"/>
              </w:rPr>
              <w:t xml:space="preserve"> Минфина Свердловской области от 16.02.2010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C92F17">
              <w:rPr>
                <w:rFonts w:ascii="Times New Roman" w:eastAsia="Times New Roman" w:hAnsi="Times New Roman" w:cs="Times New Roman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</w:rPr>
              <w:t xml:space="preserve"> утвержден порядок оценки </w:t>
            </w:r>
            <w:r w:rsidRPr="00C92F17">
              <w:rPr>
                <w:rFonts w:ascii="Times New Roman" w:eastAsia="Times New Roman" w:hAnsi="Times New Roman" w:cs="Times New Roman"/>
              </w:rPr>
              <w:t>надежности (ликвидности) банковской гарантии и поручительства, предоставляемых в качестве обеспечения исполнения обязательств принципалами при предоставлении государственных гарантий Свердловской области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42657" w:rsidRPr="00462E2F" w:rsidRDefault="00142657" w:rsidP="0014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Таким образом, предложенные изменения касаются иного документа, не относящегося к проекту, разработанному Мининвестиций.</w:t>
            </w:r>
          </w:p>
        </w:tc>
      </w:tr>
      <w:tr w:rsidR="00CE3397" w:rsidRPr="004C0FA9" w:rsidTr="00385E85">
        <w:trPr>
          <w:gridAfter w:val="1"/>
          <w:wAfter w:w="4252" w:type="dxa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397" w:rsidRPr="004C0FA9" w:rsidRDefault="00CE3397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областной союз промышленников и предпринимателей,</w:t>
            </w:r>
          </w:p>
          <w:p w:rsidR="00213B12" w:rsidRP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3397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97" w:rsidRDefault="00CE339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Pr="004C0FA9">
              <w:rPr>
                <w:rFonts w:ascii="Times New Roman" w:eastAsia="Times New Roman" w:hAnsi="Times New Roman" w:cs="Times New Roman"/>
              </w:rPr>
              <w:t>В п. 10 следует указать возможность использования комбинированного обеспечения.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397" w:rsidRDefault="00CE339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Не учтено.</w:t>
            </w:r>
          </w:p>
          <w:p w:rsidR="00C92F17" w:rsidRDefault="00C92F17" w:rsidP="00142657">
            <w:pPr>
              <w:tabs>
                <w:tab w:val="left" w:pos="18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C0FA9">
              <w:rPr>
                <w:rFonts w:ascii="Times New Roman" w:eastAsia="Times New Roman" w:hAnsi="Times New Roman" w:cs="Times New Roman"/>
              </w:rPr>
              <w:t>В соответствии с п. 3 ст.93.2 и ст. 115.2 БК РФ</w:t>
            </w:r>
            <w:r w:rsidR="00142657">
              <w:rPr>
                <w:rFonts w:ascii="Times New Roman" w:eastAsia="Times New Roman" w:hAnsi="Times New Roman" w:cs="Times New Roman"/>
              </w:rPr>
              <w:t xml:space="preserve"> </w:t>
            </w:r>
            <w:r w:rsidRPr="004C0FA9">
              <w:rPr>
                <w:rFonts w:ascii="Times New Roman" w:eastAsia="Times New Roman" w:hAnsi="Times New Roman" w:cs="Times New Roman"/>
              </w:rPr>
              <w:t>способами</w:t>
            </w:r>
            <w:r w:rsidRPr="004C0FA9">
              <w:rPr>
                <w:rFonts w:ascii="Times New Roman" w:eastAsia="Times New Roman" w:hAnsi="Times New Roman" w:cs="Times New Roman"/>
              </w:rPr>
              <w:tab/>
              <w:t>обеспечения исполнения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C0FA9">
              <w:rPr>
                <w:rFonts w:ascii="Times New Roman" w:eastAsia="Times New Roman" w:hAnsi="Times New Roman" w:cs="Times New Roman"/>
              </w:rPr>
              <w:t>обязательств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C0FA9">
              <w:rPr>
                <w:rFonts w:ascii="Times New Roman" w:eastAsia="Times New Roman" w:hAnsi="Times New Roman" w:cs="Times New Roman"/>
              </w:rPr>
              <w:t>юридического лица,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C0FA9">
              <w:rPr>
                <w:rFonts w:ascii="Times New Roman" w:eastAsia="Times New Roman" w:hAnsi="Times New Roman" w:cs="Times New Roman"/>
              </w:rPr>
              <w:t xml:space="preserve">муниципального образования по возврату бюджетного кредита, уплате процентных и иных платежей, предусмотренных законом и (или) договором, могут быть только банковские гарантии, поручительства, государственные </w:t>
            </w:r>
            <w:r w:rsidRPr="004C0FA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или</w:t>
            </w:r>
            <w:r w:rsidRPr="004C0F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C0FA9">
              <w:rPr>
                <w:rFonts w:ascii="Times New Roman" w:eastAsia="Times New Roman" w:hAnsi="Times New Roman" w:cs="Times New Roman"/>
              </w:rPr>
              <w:t>муниципальные гарантии, залог имущества в размере не менее 100 процентов предоставляемого кредита.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E3397" w:rsidRDefault="00C92F17" w:rsidP="00C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C0FA9">
              <w:rPr>
                <w:rFonts w:ascii="Times New Roman" w:eastAsia="Times New Roman" w:hAnsi="Times New Roman" w:cs="Times New Roman"/>
              </w:rPr>
              <w:t xml:space="preserve">ными словами, комбинирование способов </w:t>
            </w:r>
            <w:r w:rsidRPr="00E121F3">
              <w:rPr>
                <w:rFonts w:ascii="Times New Roman" w:eastAsia="Times New Roman" w:hAnsi="Times New Roman" w:cs="Times New Roman"/>
              </w:rPr>
              <w:t>обеспечения   не   предусмотрено Бюджетным</w:t>
            </w:r>
            <w:r w:rsidRPr="004C0FA9">
              <w:rPr>
                <w:rFonts w:ascii="Times New Roman" w:eastAsia="Times New Roman" w:hAnsi="Times New Roman" w:cs="Times New Roman"/>
              </w:rPr>
              <w:t xml:space="preserve"> законодательством Российской Федерации.</w:t>
            </w:r>
          </w:p>
          <w:p w:rsidR="00142657" w:rsidRPr="00393337" w:rsidRDefault="00142657" w:rsidP="00C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Таким образом, предложенные изменения касаются иного документа, не относящегося к проекту, разработанному Мининвестиций.</w:t>
            </w:r>
          </w:p>
        </w:tc>
      </w:tr>
      <w:tr w:rsidR="00D864A9" w:rsidRPr="004C0FA9" w:rsidTr="00385E85"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4A9" w:rsidRPr="004C0FA9" w:rsidRDefault="00D864A9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4A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 w:rsidRPr="0047408B">
              <w:rPr>
                <w:rFonts w:ascii="Times New Roman" w:eastAsia="Times New Roman" w:hAnsi="Times New Roman" w:cs="Times New Roman"/>
              </w:rPr>
              <w:t>В проекте не упоминается плата за выдачу гарантии. Это не должно быть бесплатным.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Не учтено.</w:t>
            </w:r>
          </w:p>
          <w:p w:rsidR="00D864A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408B">
              <w:rPr>
                <w:rFonts w:ascii="Times New Roman" w:eastAsia="Times New Roman" w:hAnsi="Times New Roman" w:cs="Times New Roman"/>
              </w:rPr>
              <w:t xml:space="preserve">Законом Свердловской области от 03.12.2014 № 111-ОЗ «Об областном бюджете на 2015 год и плановый период 2016 и 2017 годов» не </w:t>
            </w:r>
            <w:r w:rsidR="00142657">
              <w:rPr>
                <w:rFonts w:ascii="Times New Roman" w:eastAsia="Times New Roman" w:hAnsi="Times New Roman" w:cs="Times New Roman"/>
              </w:rPr>
              <w:t>предусмотрена возможность установления</w:t>
            </w:r>
            <w:r w:rsidRPr="0047408B">
              <w:rPr>
                <w:rFonts w:ascii="Times New Roman" w:eastAsia="Times New Roman" w:hAnsi="Times New Roman" w:cs="Times New Roman"/>
              </w:rPr>
              <w:t xml:space="preserve"> плат</w:t>
            </w:r>
            <w:r w:rsidR="00142657">
              <w:rPr>
                <w:rFonts w:ascii="Times New Roman" w:eastAsia="Times New Roman" w:hAnsi="Times New Roman" w:cs="Times New Roman"/>
              </w:rPr>
              <w:t>ы</w:t>
            </w:r>
            <w:r w:rsidRPr="0047408B">
              <w:rPr>
                <w:rFonts w:ascii="Times New Roman" w:eastAsia="Times New Roman" w:hAnsi="Times New Roman" w:cs="Times New Roman"/>
              </w:rPr>
              <w:t xml:space="preserve"> за предоставление государственной гарантии Свердловской области, что свидетельствует о безвозмездной основе предоставления государственных гарантий.</w:t>
            </w:r>
          </w:p>
          <w:p w:rsidR="00D864A9" w:rsidRPr="00142657" w:rsidRDefault="00142657" w:rsidP="00B9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2657">
              <w:rPr>
                <w:rFonts w:ascii="Times New Roman" w:hAnsi="Times New Roman" w:cs="Times New Roman"/>
              </w:rPr>
              <w:t>Таким образом, установление иных целей гарантирования, будет противоречить действующему региональному законодательству;</w:t>
            </w:r>
            <w:r w:rsidRPr="00142657">
              <w:rPr>
                <w:rFonts w:ascii="Times New Roman" w:eastAsia="Times New Roman" w:hAnsi="Times New Roman" w:cs="Times New Roman"/>
              </w:rPr>
              <w:t xml:space="preserve"> предложенные изменения касаются иного документа, не относящегося к проекту, разработанному Мининвестиций.</w:t>
            </w:r>
            <w:r>
              <w:rPr>
                <w:rFonts w:ascii="Times New Roman" w:eastAsia="Times New Roman" w:hAnsi="Times New Roman" w:cs="Times New Roman"/>
              </w:rPr>
              <w:t xml:space="preserve"> Кроме того, </w:t>
            </w:r>
            <w:r w:rsidR="00B96B84">
              <w:rPr>
                <w:rFonts w:ascii="Times New Roman" w:eastAsia="Times New Roman" w:hAnsi="Times New Roman" w:cs="Times New Roman"/>
              </w:rPr>
              <w:t>установление</w:t>
            </w:r>
            <w:r>
              <w:rPr>
                <w:rFonts w:ascii="Times New Roman" w:eastAsia="Times New Roman" w:hAnsi="Times New Roman" w:cs="Times New Roman"/>
              </w:rPr>
              <w:t xml:space="preserve"> платы за государственные гарантии </w:t>
            </w:r>
            <w:r>
              <w:rPr>
                <w:rFonts w:ascii="Times New Roman" w:eastAsia="Times New Roman" w:hAnsi="Times New Roman" w:cs="Times New Roman"/>
              </w:rPr>
              <w:t xml:space="preserve"> вводит для </w:t>
            </w:r>
            <w:r w:rsidRPr="00142657">
              <w:rPr>
                <w:rStyle w:val="FontStyle16"/>
              </w:rPr>
              <w:t xml:space="preserve">субъектов предпринимательской деятельности </w:t>
            </w:r>
            <w:r w:rsidR="00B96B84">
              <w:rPr>
                <w:rStyle w:val="FontStyle16"/>
              </w:rPr>
              <w:t>дополнительные расходы. Методика определения указанной платы не представлена.</w:t>
            </w:r>
          </w:p>
        </w:tc>
        <w:tc>
          <w:tcPr>
            <w:tcW w:w="4252" w:type="dxa"/>
          </w:tcPr>
          <w:p w:rsidR="00D864A9" w:rsidRPr="0047408B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64A9" w:rsidRPr="004C0FA9" w:rsidTr="00385E85">
        <w:trPr>
          <w:gridAfter w:val="1"/>
          <w:wAfter w:w="4252" w:type="dxa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4A9" w:rsidRPr="004C0FA9" w:rsidRDefault="00D864A9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64A9" w:rsidRDefault="00D864A9" w:rsidP="00385E85">
            <w:pPr>
              <w:spacing w:after="0" w:line="240" w:lineRule="auto"/>
              <w:ind w:left="27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0FA9">
              <w:rPr>
                <w:rFonts w:ascii="Times New Roman" w:eastAsia="Times New Roman" w:hAnsi="Times New Roman" w:cs="Times New Roman"/>
                <w:b/>
                <w:bCs/>
              </w:rPr>
              <w:t>В отношении критериев отбора субъектов инвестиционной деятельности для предоставления им государственных гарантий Свердловской области.</w:t>
            </w:r>
          </w:p>
        </w:tc>
      </w:tr>
      <w:tr w:rsidR="00D864A9" w:rsidRPr="004C0FA9" w:rsidTr="00385E85">
        <w:trPr>
          <w:gridAfter w:val="1"/>
          <w:wAfter w:w="4252" w:type="dxa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4A9" w:rsidRPr="004C0FA9" w:rsidRDefault="00D864A9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областной союз промышленников и предпринимателей,</w:t>
            </w:r>
          </w:p>
          <w:p w:rsidR="00213B12" w:rsidRP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D864A9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Default="00826C9A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864A9">
              <w:rPr>
                <w:rFonts w:ascii="Times New Roman" w:eastAsia="Times New Roman" w:hAnsi="Times New Roman" w:cs="Times New Roman"/>
              </w:rPr>
              <w:t xml:space="preserve">. </w:t>
            </w:r>
            <w:r w:rsidR="00D864A9" w:rsidRPr="00D45634">
              <w:rPr>
                <w:rFonts w:ascii="Times New Roman" w:eastAsia="Times New Roman" w:hAnsi="Times New Roman" w:cs="Times New Roman"/>
              </w:rPr>
              <w:t>В четвертый абзац п.2 Приложения Критерии отбора субъектов инвестиционной деятельности следует внести изменения – привязка ведения деятельности к территории Свердловской области должна быть не по инвестиционной деятельности, а по деятельности будущего бизнеса - на территории Свердловской области.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Default="00826C9A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D864A9">
              <w:rPr>
                <w:rFonts w:ascii="Times New Roman" w:eastAsia="Times New Roman" w:hAnsi="Times New Roman" w:cs="Times New Roman"/>
                <w:b/>
              </w:rPr>
              <w:t>. Не учтено.</w:t>
            </w:r>
          </w:p>
          <w:p w:rsidR="00D864A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03D6">
              <w:rPr>
                <w:rFonts w:ascii="Times New Roman" w:eastAsia="Times New Roman" w:hAnsi="Times New Roman" w:cs="Times New Roman"/>
              </w:rPr>
              <w:t xml:space="preserve">В соответствии с Законом Свердловской области от 30 июня 2006 года № 43-ОЗ «О государственной поддержке субъектов инвестиционной деятельности в Свердловской области» субъектами инвестиционной деятельности, которым могут быть предоставлены меры государственной поддержки, являются физические и юридические лица, </w:t>
            </w:r>
            <w:r w:rsidRPr="005B03D6">
              <w:rPr>
                <w:rFonts w:ascii="Times New Roman" w:eastAsia="Times New Roman" w:hAnsi="Times New Roman" w:cs="Times New Roman"/>
                <w:b/>
              </w:rPr>
              <w:t>ведущие свою деятельности на территории Свердловской области.</w:t>
            </w:r>
          </w:p>
          <w:p w:rsidR="00C92F17" w:rsidRPr="00C92F17" w:rsidRDefault="00C92F17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2F17">
              <w:rPr>
                <w:rFonts w:ascii="Times New Roman" w:eastAsia="Times New Roman" w:hAnsi="Times New Roman" w:cs="Times New Roman"/>
              </w:rPr>
              <w:t xml:space="preserve">Кроме того, понятие «будущий бизнес» законодательством не определено и </w:t>
            </w:r>
            <w:r>
              <w:rPr>
                <w:rFonts w:ascii="Times New Roman" w:eastAsia="Times New Roman" w:hAnsi="Times New Roman" w:cs="Times New Roman"/>
              </w:rPr>
              <w:t>находится вне правового поля.</w:t>
            </w:r>
          </w:p>
          <w:p w:rsidR="005B03D6" w:rsidRDefault="005B03D6" w:rsidP="005B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B84">
              <w:rPr>
                <w:rFonts w:ascii="Times New Roman" w:eastAsia="Times New Roman" w:hAnsi="Times New Roman" w:cs="Times New Roman"/>
              </w:rPr>
              <w:t>Если учесть предложение, то в случае наступления гарантийного случая придётся за счет средств  областного бюджета  покрывать издержки плательщиков других регионов.</w:t>
            </w:r>
          </w:p>
          <w:p w:rsidR="00B96B84" w:rsidRPr="00B96B84" w:rsidRDefault="00B96B84" w:rsidP="00B9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Указанное </w:t>
            </w:r>
            <w:r>
              <w:rPr>
                <w:rFonts w:ascii="Times New Roman" w:eastAsia="Times New Roman" w:hAnsi="Times New Roman" w:cs="Times New Roman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</w:rPr>
              <w:t xml:space="preserve"> не проработано авторами.</w:t>
            </w:r>
          </w:p>
        </w:tc>
      </w:tr>
      <w:tr w:rsidR="00D864A9" w:rsidRPr="004C0FA9" w:rsidTr="00385E85">
        <w:trPr>
          <w:gridAfter w:val="1"/>
          <w:wAfter w:w="4252" w:type="dxa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4A9" w:rsidRPr="004C0FA9" w:rsidRDefault="00D864A9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областной союз промышленников и предпринимателей,</w:t>
            </w:r>
          </w:p>
          <w:p w:rsidR="00213B12" w:rsidRP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D864A9" w:rsidRDefault="00213B12" w:rsidP="00213B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lastRenderedPageBreak/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Default="00826C9A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="00D864A9" w:rsidRPr="004C0FA9">
              <w:rPr>
                <w:rFonts w:ascii="Times New Roman" w:eastAsia="Times New Roman" w:hAnsi="Times New Roman" w:cs="Times New Roman"/>
              </w:rPr>
              <w:t xml:space="preserve">. </w:t>
            </w:r>
            <w:r w:rsidR="00D864A9" w:rsidRPr="00D45634">
              <w:rPr>
                <w:rFonts w:ascii="Times New Roman" w:eastAsia="Times New Roman" w:hAnsi="Times New Roman" w:cs="Times New Roman"/>
              </w:rPr>
              <w:t xml:space="preserve">В пп.3. пункта 3. Приложения Критерии отбора субъектов инвестиционной деятельности упоминается уровень </w:t>
            </w:r>
            <w:r w:rsidR="00D864A9" w:rsidRPr="00D45634">
              <w:rPr>
                <w:rFonts w:ascii="Times New Roman" w:eastAsia="Times New Roman" w:hAnsi="Times New Roman" w:cs="Times New Roman"/>
              </w:rPr>
              <w:lastRenderedPageBreak/>
              <w:t>готовности инвестиционного проекта, что является субъективной характеристикой, тем более, без указания цифрового значения, так</w:t>
            </w:r>
            <w:r w:rsidR="00D864A9">
              <w:rPr>
                <w:rFonts w:ascii="Times New Roman" w:eastAsia="Times New Roman" w:hAnsi="Times New Roman" w:cs="Times New Roman"/>
              </w:rPr>
              <w:t>ое представляется неприемлемым.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Pr="004C0FA9" w:rsidRDefault="00826C9A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  <w:r w:rsidR="00D864A9" w:rsidRPr="00EC5218">
              <w:rPr>
                <w:rFonts w:ascii="Times New Roman" w:eastAsia="Times New Roman" w:hAnsi="Times New Roman" w:cs="Times New Roman"/>
                <w:b/>
              </w:rPr>
              <w:t>. Не учтено.</w:t>
            </w:r>
          </w:p>
          <w:p w:rsidR="00B96B84" w:rsidRDefault="00B96B84" w:rsidP="00B9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D864A9">
              <w:rPr>
                <w:rFonts w:ascii="Times New Roman" w:eastAsia="Times New Roman" w:hAnsi="Times New Roman" w:cs="Times New Roman"/>
              </w:rPr>
              <w:t>становлени</w:t>
            </w:r>
            <w:r>
              <w:rPr>
                <w:rFonts w:ascii="Times New Roman" w:eastAsia="Times New Roman" w:hAnsi="Times New Roman" w:cs="Times New Roman"/>
              </w:rPr>
              <w:t xml:space="preserve">е в  тексте постановления Правительства Свердловской области </w:t>
            </w:r>
            <w:r w:rsidR="00D864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цифровых значений</w:t>
            </w:r>
            <w:r w:rsidR="00D864A9">
              <w:rPr>
                <w:rFonts w:ascii="Times New Roman" w:eastAsia="Times New Roman" w:hAnsi="Times New Roman" w:cs="Times New Roman"/>
              </w:rPr>
              <w:t xml:space="preserve"> степени готовности инвестиционного проекта в целях </w:t>
            </w:r>
            <w:r w:rsidR="00D864A9">
              <w:rPr>
                <w:rFonts w:ascii="Times New Roman" w:eastAsia="Times New Roman" w:hAnsi="Times New Roman" w:cs="Times New Roman"/>
              </w:rPr>
              <w:lastRenderedPageBreak/>
              <w:t>надежности предоставления государственных гарантий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вводит для </w:t>
            </w:r>
            <w:r w:rsidRPr="00142657">
              <w:rPr>
                <w:rStyle w:val="FontStyle16"/>
              </w:rPr>
              <w:t xml:space="preserve">субъектов предпринимательской деятельности </w:t>
            </w:r>
            <w:r>
              <w:rPr>
                <w:rStyle w:val="FontStyle16"/>
              </w:rPr>
              <w:t>дополнительные</w:t>
            </w:r>
            <w:r>
              <w:rPr>
                <w:rStyle w:val="FontStyle16"/>
              </w:rPr>
              <w:t xml:space="preserve"> ограничения.</w:t>
            </w:r>
          </w:p>
          <w:p w:rsidR="00D864A9" w:rsidRDefault="00B96B84" w:rsidP="00B9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этом, безусловно,</w:t>
            </w:r>
            <w:r w:rsidR="00D864A9">
              <w:rPr>
                <w:rFonts w:ascii="Times New Roman" w:eastAsia="Times New Roman" w:hAnsi="Times New Roman" w:cs="Times New Roman"/>
              </w:rPr>
              <w:t xml:space="preserve"> предпочтение будет отдано инвестиционным проектам с высокой степенью готовности, что</w:t>
            </w:r>
            <w:r w:rsidR="00C92F17">
              <w:rPr>
                <w:rFonts w:ascii="Times New Roman" w:eastAsia="Times New Roman" w:hAnsi="Times New Roman" w:cs="Times New Roman"/>
              </w:rPr>
              <w:t xml:space="preserve"> в соответствии со ст.11 </w:t>
            </w:r>
            <w:r w:rsidR="00C92F17" w:rsidRPr="00C92F17">
              <w:rPr>
                <w:rFonts w:ascii="Times New Roman" w:eastAsia="Times New Roman" w:hAnsi="Times New Roman" w:cs="Times New Roman"/>
              </w:rPr>
              <w:t>Федеральн</w:t>
            </w:r>
            <w:r w:rsidR="00C92F17">
              <w:rPr>
                <w:rFonts w:ascii="Times New Roman" w:eastAsia="Times New Roman" w:hAnsi="Times New Roman" w:cs="Times New Roman"/>
              </w:rPr>
              <w:t>ого</w:t>
            </w:r>
            <w:r w:rsidR="00C92F17" w:rsidRPr="00C92F17">
              <w:rPr>
                <w:rFonts w:ascii="Times New Roman" w:eastAsia="Times New Roman" w:hAnsi="Times New Roman" w:cs="Times New Roman"/>
              </w:rPr>
              <w:t xml:space="preserve"> закон</w:t>
            </w:r>
            <w:r w:rsidR="00C92F17">
              <w:rPr>
                <w:rFonts w:ascii="Times New Roman" w:eastAsia="Times New Roman" w:hAnsi="Times New Roman" w:cs="Times New Roman"/>
              </w:rPr>
              <w:t>а</w:t>
            </w:r>
            <w:r w:rsidR="00C92F17" w:rsidRPr="00C92F17">
              <w:rPr>
                <w:rFonts w:ascii="Times New Roman" w:eastAsia="Times New Roman" w:hAnsi="Times New Roman" w:cs="Times New Roman"/>
              </w:rPr>
              <w:t xml:space="preserve"> от 26.07.2006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="00C92F17" w:rsidRPr="00C92F17">
              <w:rPr>
                <w:rFonts w:ascii="Times New Roman" w:eastAsia="Times New Roman" w:hAnsi="Times New Roman" w:cs="Times New Roman"/>
              </w:rPr>
              <w:t xml:space="preserve"> 135-ФЗ</w:t>
            </w:r>
            <w:r w:rsidR="00C92F17">
              <w:rPr>
                <w:rFonts w:ascii="Times New Roman" w:eastAsia="Times New Roman" w:hAnsi="Times New Roman" w:cs="Times New Roman"/>
              </w:rPr>
              <w:t xml:space="preserve"> </w:t>
            </w:r>
            <w:r w:rsidR="00C92F17" w:rsidRPr="00C92F17">
              <w:rPr>
                <w:rFonts w:ascii="Times New Roman" w:eastAsia="Times New Roman" w:hAnsi="Times New Roman" w:cs="Times New Roman"/>
              </w:rPr>
              <w:t>"О защите конкуренции"</w:t>
            </w:r>
            <w:r w:rsidR="00C92F17">
              <w:rPr>
                <w:rFonts w:ascii="Times New Roman" w:eastAsia="Times New Roman" w:hAnsi="Times New Roman" w:cs="Times New Roman"/>
              </w:rPr>
              <w:t xml:space="preserve"> </w:t>
            </w:r>
            <w:r w:rsidR="00D864A9">
              <w:rPr>
                <w:rFonts w:ascii="Times New Roman" w:eastAsia="Times New Roman" w:hAnsi="Times New Roman" w:cs="Times New Roman"/>
              </w:rPr>
              <w:t xml:space="preserve"> противоречит запрету на ограничение конкуренции, а также создаст невыгодные условия для реализации социально-значимых инвестиционных проектов</w:t>
            </w:r>
            <w:r w:rsidR="005B03D6">
              <w:rPr>
                <w:rFonts w:ascii="Times New Roman" w:eastAsia="Times New Roman" w:hAnsi="Times New Roman" w:cs="Times New Roman"/>
              </w:rPr>
              <w:t>, находящихся на начальном этапе</w:t>
            </w:r>
            <w:r>
              <w:rPr>
                <w:rFonts w:ascii="Times New Roman" w:eastAsia="Times New Roman" w:hAnsi="Times New Roman" w:cs="Times New Roman"/>
              </w:rPr>
              <w:t xml:space="preserve"> реализации</w:t>
            </w:r>
            <w:r w:rsidR="00C92F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64A9" w:rsidRPr="004C0FA9" w:rsidTr="00385E85">
        <w:trPr>
          <w:gridAfter w:val="1"/>
          <w:wAfter w:w="4252" w:type="dxa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4A9" w:rsidRPr="004C0FA9" w:rsidRDefault="00D864A9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областной союз промышленников и предпринимателей,</w:t>
            </w:r>
          </w:p>
          <w:p w:rsidR="00213B12" w:rsidRP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D864A9" w:rsidRDefault="00213B12" w:rsidP="00213B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Pr="00A915FA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26C9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A915FA">
              <w:rPr>
                <w:rFonts w:ascii="Times New Roman" w:eastAsia="Times New Roman" w:hAnsi="Times New Roman" w:cs="Times New Roman"/>
              </w:rPr>
              <w:t>Требования пп. 3 и 5. пункта 3 Приложения Критерии отбора субъектов инвестиционной деятельности противоречат друг другу.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826C9A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. Не учтено.</w:t>
            </w:r>
          </w:p>
          <w:p w:rsidR="00D864A9" w:rsidRDefault="00D864A9" w:rsidP="00C9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5FA">
              <w:rPr>
                <w:rFonts w:ascii="Times New Roman" w:eastAsia="Times New Roman" w:hAnsi="Times New Roman" w:cs="Times New Roman"/>
              </w:rPr>
              <w:t>Данные критерии не противоречат друг другу в силу того, что оцениваются по</w:t>
            </w:r>
            <w:r w:rsidR="00C92F17">
              <w:rPr>
                <w:rFonts w:ascii="Times New Roman" w:eastAsia="Times New Roman" w:hAnsi="Times New Roman" w:cs="Times New Roman"/>
              </w:rPr>
              <w:t>следовательно</w:t>
            </w:r>
            <w:r w:rsidR="00056E62">
              <w:rPr>
                <w:rFonts w:ascii="Times New Roman" w:eastAsia="Times New Roman" w:hAnsi="Times New Roman" w:cs="Times New Roman"/>
              </w:rPr>
              <w:t>:</w:t>
            </w:r>
          </w:p>
          <w:p w:rsidR="00056E62" w:rsidRPr="00056E62" w:rsidRDefault="00056E62" w:rsidP="0005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56E62">
              <w:rPr>
                <w:rFonts w:ascii="Times New Roman" w:eastAsia="Times New Roman" w:hAnsi="Times New Roman" w:cs="Times New Roman"/>
              </w:rPr>
              <w:t xml:space="preserve">доля собственных средств инвестора — не менее 15 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 w:rsidRPr="00056E62">
              <w:rPr>
                <w:rFonts w:ascii="Times New Roman" w:eastAsia="Times New Roman" w:hAnsi="Times New Roman" w:cs="Times New Roman"/>
              </w:rPr>
              <w:t xml:space="preserve"> общей стоимости проекта;</w:t>
            </w:r>
          </w:p>
          <w:p w:rsidR="00056E62" w:rsidRPr="00056E62" w:rsidRDefault="00056E62" w:rsidP="0005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56E62">
              <w:rPr>
                <w:rFonts w:ascii="Times New Roman" w:eastAsia="Times New Roman" w:hAnsi="Times New Roman" w:cs="Times New Roman"/>
              </w:rPr>
              <w:t>доля государственной поддержки, оказываемой Свердловской областью инвестору по осуществляемому (финансируемому) им проекту в различных формах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56E62">
              <w:rPr>
                <w:rFonts w:ascii="Times New Roman" w:eastAsia="Times New Roman" w:hAnsi="Times New Roman" w:cs="Times New Roman"/>
              </w:rPr>
              <w:t xml:space="preserve">— не более 75 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 w:rsidRPr="00056E62">
              <w:rPr>
                <w:rFonts w:ascii="Times New Roman" w:eastAsia="Times New Roman" w:hAnsi="Times New Roman" w:cs="Times New Roman"/>
              </w:rPr>
              <w:t xml:space="preserve"> общей стоимости проекта;</w:t>
            </w:r>
          </w:p>
          <w:p w:rsidR="00056E62" w:rsidRDefault="00056E62" w:rsidP="00B9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56E62">
              <w:rPr>
                <w:rFonts w:ascii="Times New Roman" w:eastAsia="Times New Roman" w:hAnsi="Times New Roman" w:cs="Times New Roman"/>
              </w:rPr>
              <w:t xml:space="preserve">планируемый объем финансирования проекта за счет обеспеченных государственной гарантией Свердловской области кредитов, привлекаемых на его осуществление, — не более 50 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 w:rsidRPr="00056E62">
              <w:rPr>
                <w:rFonts w:ascii="Times New Roman" w:eastAsia="Times New Roman" w:hAnsi="Times New Roman" w:cs="Times New Roman"/>
              </w:rPr>
              <w:t xml:space="preserve"> полной стоимости проекта</w:t>
            </w:r>
            <w:r w:rsidR="00B96B84">
              <w:rPr>
                <w:rFonts w:ascii="Times New Roman" w:eastAsia="Times New Roman" w:hAnsi="Times New Roman" w:cs="Times New Roman"/>
              </w:rPr>
              <w:t>.</w:t>
            </w:r>
          </w:p>
          <w:p w:rsidR="00B96B84" w:rsidRDefault="00B96B84" w:rsidP="00B9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Указанное предложение не проработано авторами.</w:t>
            </w:r>
          </w:p>
        </w:tc>
      </w:tr>
      <w:tr w:rsidR="00D864A9" w:rsidRPr="004C0FA9" w:rsidTr="00385E85">
        <w:trPr>
          <w:gridAfter w:val="1"/>
          <w:wAfter w:w="4252" w:type="dxa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4A9" w:rsidRPr="004C0FA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областной союз промышленников и предпринимателей,</w:t>
            </w:r>
          </w:p>
          <w:p w:rsidR="00213B12" w:rsidRP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D864A9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26C9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A915FA">
              <w:rPr>
                <w:rFonts w:ascii="Times New Roman" w:eastAsia="Times New Roman" w:hAnsi="Times New Roman" w:cs="Times New Roman"/>
              </w:rPr>
              <w:t>Из п.3 Приложения Критерии отбора субъектов инвестиционной деятельности, последний абзац, следует, что данный документ распространяется на предприятия и организаций муниципальной и государственной собственности, что противоречит, как минимум, духу самой системы поддержки бизнеса.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826C9A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. Не учтено.</w:t>
            </w:r>
          </w:p>
          <w:p w:rsidR="00D864A9" w:rsidRDefault="00D864A9" w:rsidP="00B96B84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предлагаемой редакцией проекта постановления Правительства Свердловской области:</w:t>
            </w:r>
            <w:r w:rsidR="00B96B8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1C58BD">
              <w:rPr>
                <w:rFonts w:ascii="Times New Roman" w:eastAsia="Times New Roman" w:hAnsi="Times New Roman" w:cs="Times New Roman"/>
              </w:rPr>
              <w:t xml:space="preserve">Требования </w:t>
            </w:r>
            <w:hyperlink r:id="rId8" w:history="1">
              <w:r w:rsidRPr="001C58BD">
                <w:rPr>
                  <w:rFonts w:ascii="Times New Roman" w:eastAsia="Times New Roman" w:hAnsi="Times New Roman" w:cs="Times New Roman"/>
                </w:rPr>
                <w:t>подпунктов 3</w:t>
              </w:r>
            </w:hyperlink>
            <w:r w:rsidRPr="001C58BD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9" w:history="1">
              <w:r w:rsidRPr="001C58BD">
                <w:rPr>
                  <w:rFonts w:ascii="Times New Roman" w:eastAsia="Times New Roman" w:hAnsi="Times New Roman" w:cs="Times New Roman"/>
                </w:rPr>
                <w:t>4</w:t>
              </w:r>
            </w:hyperlink>
            <w:r w:rsidRPr="001C58BD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10" w:history="1">
              <w:r w:rsidRPr="001C58BD">
                <w:rPr>
                  <w:rFonts w:ascii="Times New Roman" w:eastAsia="Times New Roman" w:hAnsi="Times New Roman" w:cs="Times New Roman"/>
                </w:rPr>
                <w:t>5</w:t>
              </w:r>
            </w:hyperlink>
            <w:r w:rsidRPr="001C58BD">
              <w:rPr>
                <w:rFonts w:ascii="Times New Roman" w:eastAsia="Times New Roman" w:hAnsi="Times New Roman" w:cs="Times New Roman"/>
              </w:rPr>
              <w:t xml:space="preserve"> настоящего пункта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НЕ</w:t>
            </w:r>
            <w:r w:rsidRPr="001C58B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распространяются</w:t>
            </w:r>
            <w:r w:rsidRPr="001C58BD">
              <w:rPr>
                <w:rFonts w:ascii="Times New Roman" w:eastAsia="Times New Roman" w:hAnsi="Times New Roman" w:cs="Times New Roman"/>
              </w:rPr>
              <w:t xml:space="preserve"> на инвестиционные проекты, предусматривающие создание (реконструкцию) объектов государственной </w:t>
            </w:r>
            <w:r>
              <w:rPr>
                <w:rFonts w:ascii="Times New Roman" w:eastAsia="Times New Roman" w:hAnsi="Times New Roman" w:cs="Times New Roman"/>
              </w:rPr>
              <w:t>или муниципальной собственности».</w:t>
            </w:r>
          </w:p>
          <w:p w:rsidR="00303B3D" w:rsidRPr="00303B3D" w:rsidRDefault="00B96B84" w:rsidP="00303B3D">
            <w:pPr>
              <w:pStyle w:val="ConsPlusNormal"/>
              <w:jc w:val="both"/>
            </w:pPr>
            <w:r>
              <w:rPr>
                <w:rFonts w:eastAsia="Times New Roman"/>
              </w:rPr>
              <w:t xml:space="preserve">При этом в соответствии с Федеральным законом </w:t>
            </w:r>
            <w:r w:rsidR="0027082A" w:rsidRPr="0027082A">
              <w:t xml:space="preserve">от 25.02.1999 </w:t>
            </w:r>
            <w:r w:rsidR="0027082A">
              <w:t>№</w:t>
            </w:r>
            <w:r w:rsidR="0027082A" w:rsidRPr="0027082A">
              <w:t xml:space="preserve"> 39-ФЗ</w:t>
            </w:r>
            <w:r w:rsidR="0027082A">
              <w:t xml:space="preserve"> «</w:t>
            </w:r>
            <w:r w:rsidR="0027082A" w:rsidRPr="0027082A">
              <w:t>Об инвестиционной деятельности в Российской Федерации, осуществляемой в форме капитальных вложений</w:t>
            </w:r>
            <w:r w:rsidR="0027082A">
              <w:t>»</w:t>
            </w:r>
            <w:r w:rsidR="00303B3D">
              <w:t xml:space="preserve"> и</w:t>
            </w:r>
            <w:r w:rsidR="00303B3D" w:rsidRPr="00303B3D">
              <w:t>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</w:t>
            </w:r>
            <w:r w:rsidR="00303B3D">
              <w:t xml:space="preserve">, ограничения для </w:t>
            </w:r>
            <w:r w:rsidR="00303B3D" w:rsidRPr="00A915FA">
              <w:rPr>
                <w:rFonts w:eastAsia="Times New Roman"/>
              </w:rPr>
              <w:t>предприяти</w:t>
            </w:r>
            <w:r w:rsidR="00303B3D">
              <w:rPr>
                <w:rFonts w:eastAsia="Times New Roman"/>
              </w:rPr>
              <w:t>й</w:t>
            </w:r>
            <w:r w:rsidR="00303B3D" w:rsidRPr="00A915FA">
              <w:rPr>
                <w:rFonts w:eastAsia="Times New Roman"/>
              </w:rPr>
              <w:t xml:space="preserve"> и организаций муниципальной и государственной собственности</w:t>
            </w:r>
            <w:r w:rsidR="00303B3D">
              <w:rPr>
                <w:rFonts w:eastAsia="Times New Roman"/>
              </w:rPr>
              <w:t xml:space="preserve"> отсутствуют</w:t>
            </w:r>
            <w:r w:rsidR="00303B3D">
              <w:t>.</w:t>
            </w:r>
          </w:p>
          <w:p w:rsidR="00B96B84" w:rsidRPr="00584FAF" w:rsidRDefault="00B96B84" w:rsidP="00B96B84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Указанное предложение не проработано авторами.</w:t>
            </w:r>
          </w:p>
        </w:tc>
      </w:tr>
      <w:tr w:rsidR="00D864A9" w:rsidRPr="004C0FA9" w:rsidTr="00385E85">
        <w:trPr>
          <w:gridAfter w:val="1"/>
          <w:wAfter w:w="4252" w:type="dxa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4A9" w:rsidRPr="004C0FA9" w:rsidRDefault="00D864A9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областной союз промышленников и предпринимателей,</w:t>
            </w:r>
          </w:p>
          <w:p w:rsidR="00213B12" w:rsidRP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D864A9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26C9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5D3311">
              <w:rPr>
                <w:rFonts w:ascii="Times New Roman" w:eastAsia="Times New Roman" w:hAnsi="Times New Roman" w:cs="Times New Roman"/>
              </w:rPr>
              <w:t xml:space="preserve">Не совсем понятна логика формирования п.п. 3, 4, 5 пункта 3 Приложения Критерии отбора субъектов инвестиционной деятельности. Представляется, требование пп.5. чрезмерно. Более того, в случае, когда субъект инвестиционной деятельности получает от Свердловской области поддержку только по инструменту – </w:t>
            </w:r>
            <w:r w:rsidRPr="005D3311">
              <w:rPr>
                <w:rFonts w:ascii="Times New Roman" w:eastAsia="Times New Roman" w:hAnsi="Times New Roman" w:cs="Times New Roman"/>
              </w:rPr>
              <w:lastRenderedPageBreak/>
              <w:t>государственная гарантия, следует не использовать норму, предусмотренную пп.4. – об этом необходимо сделать пометку.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  <w:r w:rsidR="00826C9A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. Не учтено.</w:t>
            </w:r>
          </w:p>
          <w:p w:rsidR="00D864A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Государственные гарантии Свердловской области могут быть предоставлены субъектам инвестиционной деятельности, осуществляющим свою деятельность на территории Свердловской области.</w:t>
            </w:r>
          </w:p>
          <w:p w:rsidR="00D864A9" w:rsidRDefault="00D864A9" w:rsidP="00303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связи с тем, что неисполнение принципалом обязательств перед бенефициаром влечет за собой уплату денежной суммы, определенной в обязательстве за счет средств областного бюджета, государственные гарантии Свердловской области предоставляются «добросовестным» субъектам инвестиционной деятельности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Свердловской области, не допускающим неисполнение взятых на себя обязательств.</w:t>
            </w:r>
          </w:p>
          <w:p w:rsidR="00303B3D" w:rsidRDefault="00303B3D" w:rsidP="00303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Указанное предложение не проработано авторами.</w:t>
            </w:r>
          </w:p>
        </w:tc>
      </w:tr>
      <w:tr w:rsidR="00D864A9" w:rsidRPr="00607E29" w:rsidTr="00385E85">
        <w:trPr>
          <w:gridAfter w:val="1"/>
          <w:wAfter w:w="4252" w:type="dxa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4A9" w:rsidRPr="004C0FA9" w:rsidRDefault="00D864A9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областной союз промышленников и предпринимателей,</w:t>
            </w:r>
          </w:p>
          <w:p w:rsidR="00213B12" w:rsidRP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D864A9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26C9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07E29">
              <w:rPr>
                <w:rFonts w:ascii="Times New Roman" w:eastAsia="Times New Roman" w:hAnsi="Times New Roman" w:cs="Times New Roman"/>
              </w:rPr>
              <w:t>Согласно п.4. Приложения Критерии отбора субъектов инвестиционной деятельности предусмотрено, что методика утверждается внутренним нормативным документом Министерства инвестиций и развития Свердловской области, что неприемлемо.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Pr="00607E2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7E29">
              <w:rPr>
                <w:rFonts w:ascii="Times New Roman" w:eastAsia="Times New Roman" w:hAnsi="Times New Roman" w:cs="Times New Roman"/>
                <w:b/>
              </w:rPr>
              <w:t>1</w:t>
            </w:r>
            <w:r w:rsidR="00826C9A">
              <w:rPr>
                <w:rFonts w:ascii="Times New Roman" w:eastAsia="Times New Roman" w:hAnsi="Times New Roman" w:cs="Times New Roman"/>
                <w:b/>
              </w:rPr>
              <w:t>4</w:t>
            </w:r>
            <w:r w:rsidRPr="00607E29">
              <w:rPr>
                <w:rFonts w:ascii="Times New Roman" w:eastAsia="Times New Roman" w:hAnsi="Times New Roman" w:cs="Times New Roman"/>
                <w:b/>
              </w:rPr>
              <w:t>. Не учтено.</w:t>
            </w:r>
          </w:p>
          <w:p w:rsidR="00D864A9" w:rsidRDefault="00B26320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6320">
              <w:rPr>
                <w:rFonts w:ascii="Times New Roman" w:eastAsia="Times New Roman" w:hAnsi="Times New Roman" w:cs="Times New Roman"/>
              </w:rPr>
              <w:t>Методика расчета показателей и оценки соответствия инвестиционных проектов установленным критериям отбора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03B3D" w:rsidRPr="00BD6B45">
              <w:rPr>
                <w:rFonts w:ascii="Times New Roman" w:eastAsia="Times New Roman" w:hAnsi="Times New Roman" w:cs="Times New Roman"/>
              </w:rPr>
              <w:t>утверждается уполномоченным органом-Министерством инвестиций и развития Свердловской области (В соответствии с п.33 Порядка проведения конкурса на право предоставления государственных гарантий Свердловской области субъектам инвестиционной деятельности, утв. Постановлением Правительства Свердловской области от 20.06.2011 № 748-ПП «О предоставлении государственных гарантий Свердловской области субъектам инвестиционной деятельности»)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03B3D" w:rsidRPr="00607E29" w:rsidRDefault="00303B3D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Таким образом, предложенные изменения касаются иного документа, не относящегося к проекту, разработанному Мининвестиций.</w:t>
            </w:r>
          </w:p>
        </w:tc>
      </w:tr>
      <w:tr w:rsidR="00D864A9" w:rsidRPr="00607E29" w:rsidTr="00385E85">
        <w:trPr>
          <w:gridAfter w:val="1"/>
          <w:wAfter w:w="4252" w:type="dxa"/>
        </w:trPr>
        <w:tc>
          <w:tcPr>
            <w:tcW w:w="3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64A9" w:rsidRPr="004C0FA9" w:rsidRDefault="00D864A9" w:rsidP="00385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областной союз промышленников и предпринимателей,</w:t>
            </w:r>
          </w:p>
          <w:p w:rsidR="00213B12" w:rsidRPr="00213B12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D864A9" w:rsidRPr="00607E29" w:rsidRDefault="00213B12" w:rsidP="0021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7E29">
              <w:rPr>
                <w:rFonts w:ascii="Times New Roman" w:eastAsia="Times New Roman" w:hAnsi="Times New Roman" w:cs="Times New Roman"/>
              </w:rPr>
              <w:t>1</w:t>
            </w:r>
            <w:r w:rsidR="00826C9A">
              <w:rPr>
                <w:rFonts w:ascii="Times New Roman" w:eastAsia="Times New Roman" w:hAnsi="Times New Roman" w:cs="Times New Roman"/>
              </w:rPr>
              <w:t>5</w:t>
            </w:r>
            <w:r w:rsidRPr="00607E29">
              <w:rPr>
                <w:rFonts w:ascii="Times New Roman" w:eastAsia="Times New Roman" w:hAnsi="Times New Roman" w:cs="Times New Roman"/>
              </w:rPr>
              <w:t xml:space="preserve">. В пунктах 6,7,8 Приложения Критерии отбора субъектов инвестиционной деятельности упоминаются разные показатели эффективности, но нет ни слова о </w:t>
            </w:r>
            <w:r>
              <w:rPr>
                <w:rFonts w:ascii="Times New Roman" w:eastAsia="Times New Roman" w:hAnsi="Times New Roman" w:cs="Times New Roman"/>
              </w:rPr>
              <w:t>цифровом значении и методике.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4A9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826C9A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. Не учтено.</w:t>
            </w:r>
          </w:p>
          <w:p w:rsidR="00303B3D" w:rsidRDefault="00BD6B45" w:rsidP="00BD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B45">
              <w:rPr>
                <w:rFonts w:ascii="Times New Roman" w:eastAsia="Times New Roman" w:hAnsi="Times New Roman" w:cs="Times New Roman"/>
              </w:rPr>
              <w:t>Методика расчета показателей и оценки соответствия инвестиционных проектов установленным критериям отбора утверждается уполномоченным органом-Министерством инвестиций и развития Свердловской области (</w:t>
            </w:r>
            <w:r w:rsidR="00D864A9" w:rsidRPr="00BD6B45">
              <w:rPr>
                <w:rFonts w:ascii="Times New Roman" w:eastAsia="Times New Roman" w:hAnsi="Times New Roman" w:cs="Times New Roman"/>
              </w:rPr>
              <w:t>В соответствии с п.33 Порядка проведения конкурса на право предоставления государственных гарантий Свердловской области субъектам инвестиционной деятельности, утв. Постановлением Правительства Свердловской области от 20.06.2011 № 748-ПП «О предоставлении государственных гарантий Свердловской области субъектам инвестиционной деятельности»</w:t>
            </w:r>
            <w:r w:rsidRPr="00BD6B45">
              <w:rPr>
                <w:rFonts w:ascii="Times New Roman" w:eastAsia="Times New Roman" w:hAnsi="Times New Roman" w:cs="Times New Roman"/>
              </w:rPr>
              <w:t>)</w:t>
            </w:r>
          </w:p>
          <w:p w:rsidR="00D864A9" w:rsidRPr="00607E29" w:rsidRDefault="00303B3D" w:rsidP="00BD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Таким образом, предложенные изменения касаются иного документа, не относящегося к проекту, разработанному Мининвестиций.</w:t>
            </w:r>
            <w:bookmarkStart w:id="0" w:name="_GoBack"/>
            <w:bookmarkEnd w:id="0"/>
            <w:r w:rsidR="00D864A9" w:rsidRPr="00C8539E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D864A9" w:rsidRPr="00607E29" w:rsidTr="00385E85">
        <w:trPr>
          <w:gridAfter w:val="1"/>
          <w:wAfter w:w="4252" w:type="dxa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4A9" w:rsidRPr="00F60C1A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4A9" w:rsidRPr="00F60C1A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Уральская Торгово-промышленная палата</w:t>
            </w:r>
          </w:p>
        </w:tc>
        <w:tc>
          <w:tcPr>
            <w:tcW w:w="1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4A9" w:rsidRPr="00F60C1A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Поддерживает проект постановления Правительства Свердловской области</w:t>
            </w:r>
          </w:p>
        </w:tc>
      </w:tr>
      <w:tr w:rsidR="00D864A9" w:rsidRPr="00607E29" w:rsidTr="00385E85">
        <w:trPr>
          <w:gridAfter w:val="1"/>
          <w:wAfter w:w="4252" w:type="dxa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4A9" w:rsidRPr="00F60C1A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4A9" w:rsidRPr="00F60C1A" w:rsidRDefault="00D864A9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4A9" w:rsidRPr="00F60C1A" w:rsidRDefault="00826C9A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Предложений н</w:t>
            </w:r>
            <w:r w:rsidR="00D864A9" w:rsidRPr="00F60C1A">
              <w:rPr>
                <w:rFonts w:ascii="Times New Roman" w:eastAsia="Times New Roman" w:hAnsi="Times New Roman" w:cs="Times New Roman"/>
              </w:rPr>
              <w:t>е поступало</w:t>
            </w:r>
          </w:p>
        </w:tc>
      </w:tr>
      <w:tr w:rsidR="00826C9A" w:rsidRPr="00607E29" w:rsidTr="00385E85">
        <w:trPr>
          <w:gridAfter w:val="1"/>
          <w:wAfter w:w="4252" w:type="dxa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C9A" w:rsidRPr="00F60C1A" w:rsidRDefault="00826C9A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C9A" w:rsidRPr="00F60C1A" w:rsidRDefault="00826C9A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Институт экономики УрО РАН</w:t>
            </w:r>
          </w:p>
        </w:tc>
        <w:tc>
          <w:tcPr>
            <w:tcW w:w="12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9A" w:rsidRDefault="00826C9A" w:rsidP="00385E85">
            <w:pPr>
              <w:spacing w:after="0" w:line="240" w:lineRule="auto"/>
            </w:pPr>
            <w:r w:rsidRPr="00705AC7">
              <w:rPr>
                <w:rFonts w:ascii="Times New Roman" w:eastAsia="Times New Roman" w:hAnsi="Times New Roman" w:cs="Times New Roman"/>
              </w:rPr>
              <w:t>Предложений не поступало</w:t>
            </w:r>
          </w:p>
        </w:tc>
      </w:tr>
      <w:tr w:rsidR="00826C9A" w:rsidRPr="00607E29" w:rsidTr="00385E85">
        <w:trPr>
          <w:gridAfter w:val="1"/>
          <w:wAfter w:w="4252" w:type="dxa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C9A" w:rsidRPr="00F60C1A" w:rsidRDefault="00826C9A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C9A" w:rsidRPr="00F60C1A" w:rsidRDefault="00826C9A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1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9A" w:rsidRDefault="00826C9A" w:rsidP="00385E85">
            <w:pPr>
              <w:spacing w:after="0" w:line="240" w:lineRule="auto"/>
            </w:pPr>
            <w:r w:rsidRPr="00705AC7">
              <w:rPr>
                <w:rFonts w:ascii="Times New Roman" w:eastAsia="Times New Roman" w:hAnsi="Times New Roman" w:cs="Times New Roman"/>
              </w:rPr>
              <w:t>Предложений не поступало</w:t>
            </w:r>
          </w:p>
        </w:tc>
      </w:tr>
      <w:tr w:rsidR="00826C9A" w:rsidRPr="00607E29" w:rsidTr="00385E85">
        <w:trPr>
          <w:gridAfter w:val="1"/>
          <w:wAfter w:w="4252" w:type="dxa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C9A" w:rsidRPr="00F60C1A" w:rsidRDefault="00826C9A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C9A" w:rsidRPr="00F60C1A" w:rsidRDefault="00826C9A" w:rsidP="003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0C1A">
              <w:rPr>
                <w:rFonts w:ascii="Times New Roman" w:eastAsia="Times New Roman" w:hAnsi="Times New Roman" w:cs="Times New Roman"/>
              </w:rPr>
              <w:t xml:space="preserve">Наименование иных организации </w:t>
            </w:r>
          </w:p>
        </w:tc>
        <w:tc>
          <w:tcPr>
            <w:tcW w:w="1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9A" w:rsidRDefault="00826C9A" w:rsidP="00385E85">
            <w:pPr>
              <w:spacing w:after="0" w:line="240" w:lineRule="auto"/>
            </w:pPr>
            <w:r w:rsidRPr="00705AC7">
              <w:rPr>
                <w:rFonts w:ascii="Times New Roman" w:eastAsia="Times New Roman" w:hAnsi="Times New Roman" w:cs="Times New Roman"/>
              </w:rPr>
              <w:t>Предложений не поступало</w:t>
            </w:r>
          </w:p>
        </w:tc>
      </w:tr>
    </w:tbl>
    <w:p w:rsidR="00F60C1A" w:rsidRDefault="00F60C1A" w:rsidP="00F60C1A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0C1A" w:rsidRDefault="00F60C1A" w:rsidP="00F60C1A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0C1A" w:rsidRPr="00F60C1A" w:rsidRDefault="00F60C1A" w:rsidP="00F60C1A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C1A">
        <w:rPr>
          <w:rFonts w:ascii="Times New Roman" w:eastAsia="Times New Roman" w:hAnsi="Times New Roman" w:cs="Times New Roman"/>
          <w:sz w:val="20"/>
          <w:szCs w:val="20"/>
        </w:rPr>
        <w:lastRenderedPageBreak/>
        <w:t>Общее число участников публичных консультаций: 6, в т.ч.:  Свердловский областной Союз промышленников и предпринимателей Уральская Торгово-промышленная палата;  Свердловское областное отделение Общероссийской общественной организации малого и среднего предпринимательства «Опора России»;  Свердловское региональное отделение Общероссийской общественной организации «Деловая Россия»;- Институт экономики УрО РАН;  Свердловская региональная ассоциация выпускников Президентской программы</w:t>
      </w:r>
    </w:p>
    <w:p w:rsidR="00F60C1A" w:rsidRPr="00F60C1A" w:rsidRDefault="00F60C1A" w:rsidP="00F60C1A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C1A">
        <w:rPr>
          <w:rFonts w:ascii="Times New Roman" w:eastAsia="Times New Roman" w:hAnsi="Times New Roman" w:cs="Times New Roman"/>
          <w:sz w:val="20"/>
          <w:szCs w:val="20"/>
        </w:rPr>
        <w:t>Общее число полученных предложен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ий по доработке проекта акта: </w:t>
      </w:r>
      <w:r w:rsidR="00CE3397">
        <w:rPr>
          <w:rFonts w:ascii="Times New Roman" w:eastAsia="Times New Roman" w:hAnsi="Times New Roman" w:cs="Times New Roman"/>
          <w:sz w:val="20"/>
          <w:szCs w:val="20"/>
        </w:rPr>
        <w:t>15</w:t>
      </w:r>
    </w:p>
    <w:p w:rsidR="00F60C1A" w:rsidRPr="00F60C1A" w:rsidRDefault="00F60C1A" w:rsidP="00F60C1A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C1A">
        <w:rPr>
          <w:rFonts w:ascii="Times New Roman" w:eastAsia="Times New Roman" w:hAnsi="Times New Roman" w:cs="Times New Roman"/>
          <w:sz w:val="20"/>
          <w:szCs w:val="20"/>
        </w:rPr>
        <w:t xml:space="preserve">Общее число полученных мнений о поддержке принятия  проекта акта: </w:t>
      </w:r>
      <w:r w:rsidR="00453FD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60C1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60C1A" w:rsidRPr="00F60C1A" w:rsidRDefault="00F60C1A" w:rsidP="00F60C1A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C1A">
        <w:rPr>
          <w:rFonts w:ascii="Times New Roman" w:eastAsia="Times New Roman" w:hAnsi="Times New Roman" w:cs="Times New Roman"/>
          <w:sz w:val="20"/>
          <w:szCs w:val="20"/>
        </w:rPr>
        <w:t xml:space="preserve">Общее число учтенных предложений: </w:t>
      </w:r>
      <w:r w:rsidR="00056E6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60C1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60C1A" w:rsidRPr="00F60C1A" w:rsidRDefault="00F60C1A" w:rsidP="00F60C1A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C1A">
        <w:rPr>
          <w:rFonts w:ascii="Times New Roman" w:eastAsia="Times New Roman" w:hAnsi="Times New Roman" w:cs="Times New Roman"/>
          <w:sz w:val="20"/>
          <w:szCs w:val="20"/>
        </w:rPr>
        <w:t>Общее число учтенных частично предложений: 0;</w:t>
      </w:r>
    </w:p>
    <w:p w:rsidR="00F60C1A" w:rsidRPr="00F60C1A" w:rsidRDefault="00F60C1A" w:rsidP="00F60C1A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C1A">
        <w:rPr>
          <w:rFonts w:ascii="Times New Roman" w:eastAsia="Times New Roman" w:hAnsi="Times New Roman" w:cs="Times New Roman"/>
          <w:sz w:val="20"/>
          <w:szCs w:val="20"/>
        </w:rPr>
        <w:t>Общее число отклоненных предложений</w:t>
      </w:r>
      <w:r w:rsidR="00CE3397">
        <w:rPr>
          <w:rFonts w:ascii="Times New Roman" w:eastAsia="Times New Roman" w:hAnsi="Times New Roman" w:cs="Times New Roman"/>
          <w:sz w:val="20"/>
          <w:szCs w:val="20"/>
        </w:rPr>
        <w:t>: 1</w:t>
      </w:r>
      <w:r w:rsidR="00056E62">
        <w:rPr>
          <w:rFonts w:ascii="Times New Roman" w:eastAsia="Times New Roman" w:hAnsi="Times New Roman" w:cs="Times New Roman"/>
          <w:sz w:val="20"/>
          <w:szCs w:val="20"/>
        </w:rPr>
        <w:t>3</w:t>
      </w:r>
      <w:r w:rsidR="00CE339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28C7" w:rsidRDefault="00F60C1A" w:rsidP="005128C7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i/>
        </w:rPr>
      </w:pPr>
      <w:r w:rsidRPr="00F60C1A">
        <w:rPr>
          <w:rFonts w:ascii="Times New Roman" w:eastAsia="Times New Roman" w:hAnsi="Times New Roman" w:cs="Times New Roman"/>
          <w:sz w:val="20"/>
          <w:szCs w:val="20"/>
        </w:rPr>
        <w:t xml:space="preserve">По результатам публичных консультаций разработчиком принято решение: </w:t>
      </w:r>
      <w:r w:rsidRPr="005128C7">
        <w:rPr>
          <w:rFonts w:ascii="Times New Roman" w:eastAsia="Times New Roman" w:hAnsi="Times New Roman" w:cs="Times New Roman"/>
          <w:i/>
        </w:rPr>
        <w:t xml:space="preserve">Отказаться от </w:t>
      </w:r>
      <w:r w:rsidR="005128C7" w:rsidRPr="005128C7">
        <w:rPr>
          <w:rFonts w:ascii="Times New Roman" w:eastAsia="Times New Roman" w:hAnsi="Times New Roman" w:cs="Times New Roman"/>
          <w:i/>
        </w:rPr>
        <w:t>разработки</w:t>
      </w:r>
      <w:r w:rsidRPr="005128C7">
        <w:rPr>
          <w:rFonts w:ascii="Times New Roman" w:eastAsia="Times New Roman" w:hAnsi="Times New Roman" w:cs="Times New Roman"/>
          <w:i/>
        </w:rPr>
        <w:t xml:space="preserve"> проекта постановления Правительства Свердловской области с учетом полученных предложений.</w:t>
      </w:r>
      <w:r w:rsidR="005128C7" w:rsidRPr="005128C7">
        <w:rPr>
          <w:rFonts w:ascii="Times New Roman" w:eastAsia="Times New Roman" w:hAnsi="Times New Roman" w:cs="Times New Roman"/>
          <w:i/>
        </w:rPr>
        <w:t xml:space="preserve"> Принятие указанных замечаний и предложений к проекту постановления </w:t>
      </w:r>
      <w:r w:rsidR="005128C7">
        <w:rPr>
          <w:rFonts w:ascii="Times New Roman" w:eastAsia="Times New Roman" w:hAnsi="Times New Roman" w:cs="Times New Roman"/>
          <w:i/>
        </w:rPr>
        <w:t>будет</w:t>
      </w:r>
      <w:r w:rsidR="005128C7" w:rsidRPr="005128C7">
        <w:rPr>
          <w:rFonts w:ascii="Times New Roman" w:eastAsia="Times New Roman" w:hAnsi="Times New Roman" w:cs="Times New Roman"/>
          <w:i/>
        </w:rPr>
        <w:t xml:space="preserve"> свидетельствовать о грубом нарушении действующего федерального и регионального законодательства </w:t>
      </w:r>
      <w:r w:rsidR="00056E62">
        <w:rPr>
          <w:rFonts w:ascii="Times New Roman" w:eastAsia="Times New Roman" w:hAnsi="Times New Roman" w:cs="Times New Roman"/>
          <w:i/>
        </w:rPr>
        <w:t>(</w:t>
      </w:r>
      <w:r w:rsidR="005128C7" w:rsidRPr="005128C7">
        <w:rPr>
          <w:rFonts w:ascii="Times New Roman" w:eastAsia="Times New Roman" w:hAnsi="Times New Roman" w:cs="Times New Roman"/>
          <w:i/>
        </w:rPr>
        <w:t>Бюджетного кодекса Российской Федерации, Закона Свердловской области от 03.12.2014 № 111-ОЗ «Об областном бюджете на 2015 год и плановый период 2016 и 2017 годов», Закон</w:t>
      </w:r>
      <w:r w:rsidR="005128C7">
        <w:rPr>
          <w:rFonts w:ascii="Times New Roman" w:eastAsia="Times New Roman" w:hAnsi="Times New Roman" w:cs="Times New Roman"/>
          <w:i/>
        </w:rPr>
        <w:t>а</w:t>
      </w:r>
      <w:r w:rsidR="005128C7" w:rsidRPr="005128C7">
        <w:rPr>
          <w:rFonts w:ascii="Times New Roman" w:eastAsia="Times New Roman" w:hAnsi="Times New Roman" w:cs="Times New Roman"/>
          <w:i/>
        </w:rPr>
        <w:t xml:space="preserve"> Свердловской области от 30 июня 2006 № 43-ОЗ «О государственной поддержке субъектов инвестиционной деятельности на т</w:t>
      </w:r>
      <w:r w:rsidR="00056E62">
        <w:rPr>
          <w:rFonts w:ascii="Times New Roman" w:eastAsia="Times New Roman" w:hAnsi="Times New Roman" w:cs="Times New Roman"/>
          <w:i/>
        </w:rPr>
        <w:t xml:space="preserve">ерритории Свердловской области») и </w:t>
      </w:r>
      <w:r w:rsidR="000C6A3D">
        <w:rPr>
          <w:rFonts w:ascii="Times New Roman" w:eastAsia="Times New Roman" w:hAnsi="Times New Roman" w:cs="Times New Roman"/>
          <w:i/>
        </w:rPr>
        <w:t xml:space="preserve">об </w:t>
      </w:r>
      <w:r w:rsidR="00056E62">
        <w:rPr>
          <w:rFonts w:ascii="Times New Roman" w:eastAsia="Times New Roman" w:hAnsi="Times New Roman" w:cs="Times New Roman"/>
          <w:i/>
        </w:rPr>
        <w:t xml:space="preserve">установлении дополнительных барьеров и ограничений </w:t>
      </w:r>
      <w:r w:rsidR="000C6A3D">
        <w:rPr>
          <w:rFonts w:ascii="Times New Roman" w:eastAsia="Times New Roman" w:hAnsi="Times New Roman" w:cs="Times New Roman"/>
          <w:i/>
        </w:rPr>
        <w:t>для субъектов инвестиционной деятельности.</w:t>
      </w:r>
    </w:p>
    <w:p w:rsidR="004C0FA9" w:rsidRPr="004C0FA9" w:rsidRDefault="004C0FA9" w:rsidP="00F60C1A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0FA9" w:rsidRPr="004C0FA9" w:rsidRDefault="004C0FA9" w:rsidP="00F60C1A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C0FA9" w:rsidRPr="004C0FA9" w:rsidSect="00FD35E9">
      <w:headerReference w:type="default" r:id="rId11"/>
      <w:type w:val="continuous"/>
      <w:pgSz w:w="16839" w:h="11907" w:orient="landscape" w:code="9"/>
      <w:pgMar w:top="357" w:right="357" w:bottom="357" w:left="28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62" w:rsidRDefault="00056E62" w:rsidP="00EC5218">
      <w:pPr>
        <w:spacing w:after="0" w:line="240" w:lineRule="auto"/>
      </w:pPr>
      <w:r>
        <w:separator/>
      </w:r>
    </w:p>
  </w:endnote>
  <w:endnote w:type="continuationSeparator" w:id="0">
    <w:p w:rsidR="00056E62" w:rsidRDefault="00056E62" w:rsidP="00EC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62" w:rsidRDefault="00056E62" w:rsidP="00EC5218">
      <w:pPr>
        <w:spacing w:after="0" w:line="240" w:lineRule="auto"/>
      </w:pPr>
      <w:r>
        <w:separator/>
      </w:r>
    </w:p>
  </w:footnote>
  <w:footnote w:type="continuationSeparator" w:id="0">
    <w:p w:rsidR="00056E62" w:rsidRDefault="00056E62" w:rsidP="00EC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62" w:rsidRDefault="00056E62" w:rsidP="00EC1FB6">
    <w:pPr>
      <w:pStyle w:val="Style54"/>
      <w:ind w:right="-154"/>
      <w:jc w:val="center"/>
      <w:rPr>
        <w:sz w:val="24"/>
        <w:szCs w:val="24"/>
      </w:rPr>
    </w:pPr>
    <w:r>
      <w:rPr>
        <w:rStyle w:val="CharStyle53"/>
      </w:rPr>
      <w:fldChar w:fldCharType="begin"/>
    </w:r>
    <w:r>
      <w:rPr>
        <w:rStyle w:val="CharStyle53"/>
      </w:rPr>
      <w:instrText>PAGE</w:instrText>
    </w:r>
    <w:r>
      <w:rPr>
        <w:rStyle w:val="CharStyle53"/>
      </w:rPr>
      <w:fldChar w:fldCharType="separate"/>
    </w:r>
    <w:r w:rsidR="00303B3D">
      <w:rPr>
        <w:rStyle w:val="CharStyle53"/>
        <w:noProof/>
      </w:rPr>
      <w:t>6</w:t>
    </w:r>
    <w:r>
      <w:rPr>
        <w:rStyle w:val="CharStyle5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6B77"/>
    <w:multiLevelType w:val="singleLevel"/>
    <w:tmpl w:val="F42CBFCE"/>
    <w:lvl w:ilvl="0">
      <w:start w:val="5"/>
      <w:numFmt w:val="decimal"/>
      <w:lvlText w:val="21.%1."/>
      <w:lvlJc w:val="left"/>
    </w:lvl>
  </w:abstractNum>
  <w:abstractNum w:abstractNumId="1">
    <w:nsid w:val="145000A6"/>
    <w:multiLevelType w:val="singleLevel"/>
    <w:tmpl w:val="E8A47E8E"/>
    <w:lvl w:ilvl="0">
      <w:start w:val="1"/>
      <w:numFmt w:val="decimal"/>
      <w:lvlText w:val="6.%1."/>
      <w:lvlJc w:val="left"/>
    </w:lvl>
  </w:abstractNum>
  <w:abstractNum w:abstractNumId="2">
    <w:nsid w:val="2DCE7AD3"/>
    <w:multiLevelType w:val="singleLevel"/>
    <w:tmpl w:val="A432A7BE"/>
    <w:lvl w:ilvl="0">
      <w:start w:val="3"/>
      <w:numFmt w:val="decimal"/>
      <w:lvlText w:val="20.%1."/>
      <w:lvlJc w:val="left"/>
    </w:lvl>
  </w:abstractNum>
  <w:abstractNum w:abstractNumId="3">
    <w:nsid w:val="3645285F"/>
    <w:multiLevelType w:val="singleLevel"/>
    <w:tmpl w:val="CEDA2512"/>
    <w:lvl w:ilvl="0">
      <w:start w:val="2"/>
      <w:numFmt w:val="decimal"/>
      <w:lvlText w:val="%1."/>
      <w:lvlJc w:val="left"/>
    </w:lvl>
  </w:abstractNum>
  <w:abstractNum w:abstractNumId="4">
    <w:nsid w:val="400F3D56"/>
    <w:multiLevelType w:val="singleLevel"/>
    <w:tmpl w:val="BF7C8FB8"/>
    <w:lvl w:ilvl="0">
      <w:start w:val="1"/>
      <w:numFmt w:val="decimal"/>
      <w:lvlText w:val="12.%1."/>
      <w:lvlJc w:val="left"/>
    </w:lvl>
  </w:abstractNum>
  <w:abstractNum w:abstractNumId="5">
    <w:nsid w:val="40507111"/>
    <w:multiLevelType w:val="singleLevel"/>
    <w:tmpl w:val="F0800928"/>
    <w:lvl w:ilvl="0">
      <w:start w:val="4"/>
      <w:numFmt w:val="decimal"/>
      <w:lvlText w:val="%1."/>
      <w:lvlJc w:val="left"/>
    </w:lvl>
  </w:abstractNum>
  <w:abstractNum w:abstractNumId="6">
    <w:nsid w:val="46BD0D4B"/>
    <w:multiLevelType w:val="singleLevel"/>
    <w:tmpl w:val="2A9292AA"/>
    <w:lvl w:ilvl="0">
      <w:start w:val="6"/>
      <w:numFmt w:val="decimal"/>
      <w:lvlText w:val="%1."/>
      <w:lvlJc w:val="left"/>
    </w:lvl>
  </w:abstractNum>
  <w:abstractNum w:abstractNumId="7">
    <w:nsid w:val="4A501871"/>
    <w:multiLevelType w:val="singleLevel"/>
    <w:tmpl w:val="CEDA2512"/>
    <w:lvl w:ilvl="0">
      <w:start w:val="2"/>
      <w:numFmt w:val="decimal"/>
      <w:lvlText w:val="%1."/>
      <w:lvlJc w:val="left"/>
    </w:lvl>
  </w:abstractNum>
  <w:abstractNum w:abstractNumId="8">
    <w:nsid w:val="4BE424FC"/>
    <w:multiLevelType w:val="singleLevel"/>
    <w:tmpl w:val="44327CFE"/>
    <w:lvl w:ilvl="0">
      <w:start w:val="1"/>
      <w:numFmt w:val="decimal"/>
      <w:lvlText w:val="21.%1."/>
      <w:lvlJc w:val="left"/>
    </w:lvl>
  </w:abstractNum>
  <w:abstractNum w:abstractNumId="9">
    <w:nsid w:val="54F1772C"/>
    <w:multiLevelType w:val="singleLevel"/>
    <w:tmpl w:val="34F4CA8A"/>
    <w:lvl w:ilvl="0">
      <w:start w:val="3"/>
      <w:numFmt w:val="decimal"/>
      <w:lvlText w:val="16.%1."/>
      <w:lvlJc w:val="left"/>
    </w:lvl>
  </w:abstractNum>
  <w:abstractNum w:abstractNumId="10">
    <w:nsid w:val="59DE5945"/>
    <w:multiLevelType w:val="singleLevel"/>
    <w:tmpl w:val="CBA05F82"/>
    <w:lvl w:ilvl="0">
      <w:start w:val="1"/>
      <w:numFmt w:val="decimal"/>
      <w:lvlText w:val="17.%1."/>
      <w:lvlJc w:val="left"/>
    </w:lvl>
  </w:abstractNum>
  <w:abstractNum w:abstractNumId="11">
    <w:nsid w:val="59FE3C32"/>
    <w:multiLevelType w:val="singleLevel"/>
    <w:tmpl w:val="10F262AA"/>
    <w:lvl w:ilvl="0">
      <w:start w:val="1"/>
      <w:numFmt w:val="decimal"/>
      <w:lvlText w:val="22.%1."/>
      <w:lvlJc w:val="left"/>
    </w:lvl>
  </w:abstractNum>
  <w:abstractNum w:abstractNumId="12">
    <w:nsid w:val="5F98229F"/>
    <w:multiLevelType w:val="singleLevel"/>
    <w:tmpl w:val="A9C68740"/>
    <w:lvl w:ilvl="0">
      <w:numFmt w:val="bullet"/>
      <w:lvlText w:val="-"/>
      <w:lvlJc w:val="left"/>
    </w:lvl>
  </w:abstractNum>
  <w:abstractNum w:abstractNumId="13">
    <w:nsid w:val="7D0628F5"/>
    <w:multiLevelType w:val="singleLevel"/>
    <w:tmpl w:val="CF42A112"/>
    <w:lvl w:ilvl="0">
      <w:start w:val="1"/>
      <w:numFmt w:val="decimal"/>
      <w:lvlText w:val="%1."/>
      <w:lvlJc w:val="left"/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A9"/>
    <w:rsid w:val="00007EC7"/>
    <w:rsid w:val="0002314D"/>
    <w:rsid w:val="00056E62"/>
    <w:rsid w:val="00070E74"/>
    <w:rsid w:val="000A5286"/>
    <w:rsid w:val="000C6A3D"/>
    <w:rsid w:val="00142657"/>
    <w:rsid w:val="00183178"/>
    <w:rsid w:val="00187040"/>
    <w:rsid w:val="001A6BEE"/>
    <w:rsid w:val="001C58BD"/>
    <w:rsid w:val="001E5780"/>
    <w:rsid w:val="00213B12"/>
    <w:rsid w:val="00217207"/>
    <w:rsid w:val="002575BC"/>
    <w:rsid w:val="0027082A"/>
    <w:rsid w:val="002B7CBB"/>
    <w:rsid w:val="00303B3D"/>
    <w:rsid w:val="00340BCB"/>
    <w:rsid w:val="00385E85"/>
    <w:rsid w:val="00393337"/>
    <w:rsid w:val="003F3F2D"/>
    <w:rsid w:val="003F4B68"/>
    <w:rsid w:val="00453FD4"/>
    <w:rsid w:val="00462E2F"/>
    <w:rsid w:val="0047408B"/>
    <w:rsid w:val="00496556"/>
    <w:rsid w:val="004C0FA9"/>
    <w:rsid w:val="004E418A"/>
    <w:rsid w:val="005128C7"/>
    <w:rsid w:val="005212C2"/>
    <w:rsid w:val="00536BC1"/>
    <w:rsid w:val="00543CFF"/>
    <w:rsid w:val="00551952"/>
    <w:rsid w:val="00584FAF"/>
    <w:rsid w:val="005A0A1A"/>
    <w:rsid w:val="005B03D6"/>
    <w:rsid w:val="005B3BAE"/>
    <w:rsid w:val="005C26A8"/>
    <w:rsid w:val="005D3311"/>
    <w:rsid w:val="005E4301"/>
    <w:rsid w:val="005F5807"/>
    <w:rsid w:val="00607E29"/>
    <w:rsid w:val="006854B5"/>
    <w:rsid w:val="006A0B34"/>
    <w:rsid w:val="006C2597"/>
    <w:rsid w:val="006D6ED8"/>
    <w:rsid w:val="00710276"/>
    <w:rsid w:val="00733BC0"/>
    <w:rsid w:val="00747CEB"/>
    <w:rsid w:val="00750AA5"/>
    <w:rsid w:val="00796E31"/>
    <w:rsid w:val="007C50D1"/>
    <w:rsid w:val="00811EB6"/>
    <w:rsid w:val="008130D3"/>
    <w:rsid w:val="00826C9A"/>
    <w:rsid w:val="008B28FC"/>
    <w:rsid w:val="008B7A6C"/>
    <w:rsid w:val="008D4DC2"/>
    <w:rsid w:val="00910053"/>
    <w:rsid w:val="00925A84"/>
    <w:rsid w:val="00933C34"/>
    <w:rsid w:val="00997CC5"/>
    <w:rsid w:val="009A344D"/>
    <w:rsid w:val="009F3BDF"/>
    <w:rsid w:val="00A010C0"/>
    <w:rsid w:val="00A0702A"/>
    <w:rsid w:val="00A17B43"/>
    <w:rsid w:val="00A43C87"/>
    <w:rsid w:val="00A603A1"/>
    <w:rsid w:val="00A61375"/>
    <w:rsid w:val="00A915FA"/>
    <w:rsid w:val="00A91ABB"/>
    <w:rsid w:val="00AC6369"/>
    <w:rsid w:val="00B0284A"/>
    <w:rsid w:val="00B26320"/>
    <w:rsid w:val="00B36839"/>
    <w:rsid w:val="00B96B84"/>
    <w:rsid w:val="00BA0C64"/>
    <w:rsid w:val="00BA3E0D"/>
    <w:rsid w:val="00BC4CC0"/>
    <w:rsid w:val="00BC7669"/>
    <w:rsid w:val="00BD164C"/>
    <w:rsid w:val="00BD6B45"/>
    <w:rsid w:val="00BF0867"/>
    <w:rsid w:val="00C13829"/>
    <w:rsid w:val="00C31C26"/>
    <w:rsid w:val="00C32E9F"/>
    <w:rsid w:val="00C8539E"/>
    <w:rsid w:val="00C92F17"/>
    <w:rsid w:val="00CE3397"/>
    <w:rsid w:val="00D45634"/>
    <w:rsid w:val="00D53B21"/>
    <w:rsid w:val="00D67687"/>
    <w:rsid w:val="00D711F6"/>
    <w:rsid w:val="00D82774"/>
    <w:rsid w:val="00D864A9"/>
    <w:rsid w:val="00DB312A"/>
    <w:rsid w:val="00DB6551"/>
    <w:rsid w:val="00E01A98"/>
    <w:rsid w:val="00E121F3"/>
    <w:rsid w:val="00E3581B"/>
    <w:rsid w:val="00E564E0"/>
    <w:rsid w:val="00E84D88"/>
    <w:rsid w:val="00EC1FB6"/>
    <w:rsid w:val="00EC5218"/>
    <w:rsid w:val="00F37718"/>
    <w:rsid w:val="00F60C1A"/>
    <w:rsid w:val="00F712D3"/>
    <w:rsid w:val="00FA7BC6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64F3-3877-4CC1-940D-A8898202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2">
    <w:name w:val="Style192"/>
    <w:basedOn w:val="a"/>
    <w:rsid w:val="004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C0FA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4C0FA9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4C0F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4C0FA9"/>
    <w:pPr>
      <w:spacing w:after="0" w:line="27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4C0FA9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4C0FA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4C0FA9"/>
    <w:pPr>
      <w:spacing w:after="0" w:line="27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8">
    <w:name w:val="Style258"/>
    <w:basedOn w:val="a"/>
    <w:rsid w:val="004C0FA9"/>
    <w:pPr>
      <w:spacing w:after="0" w:line="27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4">
    <w:name w:val="Style314"/>
    <w:basedOn w:val="a"/>
    <w:rsid w:val="004C0FA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4C0FA9"/>
    <w:pPr>
      <w:spacing w:after="0" w:line="274" w:lineRule="exact"/>
      <w:ind w:firstLine="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rsid w:val="004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rsid w:val="004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rsid w:val="004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">
    <w:name w:val="Style63"/>
    <w:basedOn w:val="a"/>
    <w:rsid w:val="004C0FA9"/>
    <w:pPr>
      <w:spacing w:after="0" w:line="28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rsid w:val="004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"/>
    <w:rsid w:val="004C0FA9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5">
    <w:name w:val="Style265"/>
    <w:basedOn w:val="a"/>
    <w:rsid w:val="004C0FA9"/>
    <w:pPr>
      <w:spacing w:after="0" w:line="27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">
    <w:name w:val="Style102"/>
    <w:basedOn w:val="a"/>
    <w:rsid w:val="004C0FA9"/>
    <w:pPr>
      <w:spacing w:after="0" w:line="27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4">
    <w:name w:val="Style254"/>
    <w:basedOn w:val="a"/>
    <w:rsid w:val="004C0FA9"/>
    <w:pPr>
      <w:spacing w:after="0" w:line="274" w:lineRule="exact"/>
      <w:ind w:hanging="13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9">
    <w:name w:val="Style89"/>
    <w:basedOn w:val="a"/>
    <w:rsid w:val="004C0FA9"/>
    <w:pPr>
      <w:spacing w:after="0"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">
    <w:name w:val="Style90"/>
    <w:basedOn w:val="a"/>
    <w:rsid w:val="004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">
    <w:name w:val="CharStyle4"/>
    <w:basedOn w:val="a0"/>
    <w:rsid w:val="004C0FA9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6">
    <w:name w:val="CharStyle6"/>
    <w:basedOn w:val="a0"/>
    <w:rsid w:val="004C0FA9"/>
    <w:rPr>
      <w:rFonts w:ascii="Times New Roman" w:eastAsia="Times New Roman" w:hAnsi="Times New Roman" w:cs="Times New Roman"/>
      <w:b/>
      <w:bCs/>
      <w:i w:val="0"/>
      <w:iCs w:val="0"/>
      <w:smallCaps w:val="0"/>
      <w:w w:val="10"/>
      <w:sz w:val="34"/>
      <w:szCs w:val="34"/>
    </w:rPr>
  </w:style>
  <w:style w:type="character" w:customStyle="1" w:styleId="CharStyle12">
    <w:name w:val="CharStyle12"/>
    <w:basedOn w:val="a0"/>
    <w:rsid w:val="004C0FA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character" w:customStyle="1" w:styleId="CharStyle16">
    <w:name w:val="CharStyle16"/>
    <w:basedOn w:val="a0"/>
    <w:rsid w:val="004C0FA9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8">
    <w:name w:val="CharStyle18"/>
    <w:basedOn w:val="a0"/>
    <w:rsid w:val="004C0FA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4"/>
      <w:szCs w:val="24"/>
    </w:rPr>
  </w:style>
  <w:style w:type="character" w:customStyle="1" w:styleId="CharStyle31">
    <w:name w:val="CharStyle31"/>
    <w:basedOn w:val="a0"/>
    <w:rsid w:val="004C0FA9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43">
    <w:name w:val="CharStyle43"/>
    <w:basedOn w:val="a0"/>
    <w:rsid w:val="004C0FA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3">
    <w:name w:val="CharStyle53"/>
    <w:basedOn w:val="a0"/>
    <w:rsid w:val="004C0FA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66">
    <w:name w:val="CharStyle66"/>
    <w:basedOn w:val="a0"/>
    <w:rsid w:val="004C0FA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C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218"/>
  </w:style>
  <w:style w:type="paragraph" w:styleId="a5">
    <w:name w:val="footer"/>
    <w:basedOn w:val="a"/>
    <w:link w:val="a6"/>
    <w:uiPriority w:val="99"/>
    <w:unhideWhenUsed/>
    <w:rsid w:val="00EC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218"/>
  </w:style>
  <w:style w:type="table" w:styleId="a7">
    <w:name w:val="Table Grid"/>
    <w:basedOn w:val="a1"/>
    <w:uiPriority w:val="59"/>
    <w:rsid w:val="00F60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5E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1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1426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ED6AA07DB4155249B01FBD808EEDB3C140982DD4400087EF7EDFF1621155BCAE6210C76429BFA641A07eDD2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AED6AA07DB4155249B01FBD808EEDB3C140982DD4400087EF7EDFF1621155BCAE6210C76429BFA641A07eDD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AED6AA07DB4155249B01FBD808EEDB3C140982DD4400087EF7EDFF1621155BCAE6210C76429BFA641A07eD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9703-DD38-4A3B-BD45-3A2A91D7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Суковых Наталия Викторовна</dc:creator>
  <cp:lastModifiedBy>Хлыбова Елена Александровна</cp:lastModifiedBy>
  <cp:revision>3</cp:revision>
  <cp:lastPrinted>2015-09-23T12:24:00Z</cp:lastPrinted>
  <dcterms:created xsi:type="dcterms:W3CDTF">2015-09-25T08:49:00Z</dcterms:created>
  <dcterms:modified xsi:type="dcterms:W3CDTF">2015-09-25T08:57:00Z</dcterms:modified>
</cp:coreProperties>
</file>