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26C77" w:rsidRDefault="009F70C6" w:rsidP="00AD5058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757C73">
        <w:rPr>
          <w:rFonts w:ascii="Times New Roman" w:hAnsi="Times New Roman" w:cs="Times New Roman"/>
          <w:sz w:val="28"/>
          <w:szCs w:val="24"/>
        </w:rPr>
        <w:t>первое</w:t>
      </w:r>
      <w:r w:rsidR="0054129B">
        <w:rPr>
          <w:rFonts w:ascii="Times New Roman" w:hAnsi="Times New Roman" w:cs="Times New Roman"/>
          <w:sz w:val="28"/>
          <w:szCs w:val="24"/>
        </w:rPr>
        <w:t xml:space="preserve"> </w:t>
      </w:r>
      <w:r w:rsidRPr="00C510CC">
        <w:rPr>
          <w:rFonts w:ascii="Times New Roman" w:hAnsi="Times New Roman" w:cs="Times New Roman"/>
          <w:sz w:val="28"/>
          <w:szCs w:val="24"/>
        </w:rPr>
        <w:t>полугодие</w:t>
      </w:r>
      <w:r w:rsidR="0054129B">
        <w:rPr>
          <w:rFonts w:ascii="Times New Roman" w:hAnsi="Times New Roman" w:cs="Times New Roman"/>
          <w:sz w:val="28"/>
          <w:szCs w:val="24"/>
        </w:rPr>
        <w:t xml:space="preserve"> 201</w:t>
      </w:r>
      <w:r w:rsidR="00213FD8">
        <w:rPr>
          <w:rFonts w:ascii="Times New Roman" w:hAnsi="Times New Roman" w:cs="Times New Roman"/>
          <w:sz w:val="28"/>
          <w:szCs w:val="24"/>
        </w:rPr>
        <w:t>6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C510CC" w:rsidRDefault="003B3E82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44B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6F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72" w:type="dxa"/>
        <w:tblInd w:w="43" w:type="dxa"/>
        <w:tblLook w:val="04A0" w:firstRow="1" w:lastRow="0" w:firstColumn="1" w:lastColumn="0" w:noHBand="0" w:noVBand="1"/>
      </w:tblPr>
      <w:tblGrid>
        <w:gridCol w:w="491"/>
        <w:gridCol w:w="3544"/>
        <w:gridCol w:w="6237"/>
      </w:tblGrid>
      <w:tr w:rsidR="00AE68B5" w:rsidTr="00EC63D7">
        <w:tc>
          <w:tcPr>
            <w:tcW w:w="491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77C6F" w:rsidRDefault="003912EC" w:rsidP="0017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7C6F" w:rsidRPr="00177C6F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Свердловской области «О сроке применения установленных федеральным законом отдельных ограничений при проведении проверок, проводимых при осуществлении регионального государственного контроля (надзора), муниципального контроля на территории Свердловской </w:t>
            </w:r>
            <w:r w:rsidR="00177C6F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  <w:p w:rsidR="003912EC" w:rsidRDefault="003912EC" w:rsidP="0039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B5" w:rsidTr="00EC63D7">
        <w:tc>
          <w:tcPr>
            <w:tcW w:w="491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726C77" w:rsidP="00D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C130AE" w:rsidRPr="00FE7CE0" w:rsidRDefault="00C130AE" w:rsidP="00D307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7E1417" w:rsidRDefault="007E1417" w:rsidP="007E1417">
            <w:pPr>
              <w:pStyle w:val="ab"/>
              <w:jc w:val="both"/>
            </w:pPr>
            <w:proofErr w:type="spellStart"/>
            <w:r>
              <w:t>Референтная</w:t>
            </w:r>
            <w:proofErr w:type="spellEnd"/>
            <w:r>
              <w:t xml:space="preserve"> группа Министерства экономики Свердловской области, </w:t>
            </w:r>
            <w:r>
              <w:t>Уполномоченны</w:t>
            </w:r>
            <w:r>
              <w:t>й</w:t>
            </w:r>
            <w:r>
              <w:t xml:space="preserve"> по защите прав предпринимателей в Свердловской области</w:t>
            </w:r>
            <w:r>
              <w:t xml:space="preserve">, </w:t>
            </w:r>
            <w:r>
              <w:t>Св</w:t>
            </w:r>
            <w:r>
              <w:t xml:space="preserve">ердловское областное отделение Опоры России, </w:t>
            </w:r>
            <w:proofErr w:type="spellStart"/>
            <w:r>
              <w:t>УТПП</w:t>
            </w:r>
            <w:proofErr w:type="spellEnd"/>
            <w:r>
              <w:t xml:space="preserve">, СОСПП, </w:t>
            </w:r>
            <w:r>
              <w:t>Свердловск</w:t>
            </w:r>
            <w:r>
              <w:t>ое</w:t>
            </w:r>
            <w:r>
              <w:t xml:space="preserve"> региональн</w:t>
            </w:r>
            <w:r>
              <w:t>ое отделение</w:t>
            </w:r>
            <w:r>
              <w:t xml:space="preserve"> Делов</w:t>
            </w:r>
            <w:r>
              <w:t>ой</w:t>
            </w:r>
            <w:r>
              <w:t xml:space="preserve"> Росси</w:t>
            </w:r>
            <w:r>
              <w:t xml:space="preserve">и, </w:t>
            </w:r>
            <w:proofErr w:type="spellStart"/>
            <w:r>
              <w:t>ФГБУН</w:t>
            </w:r>
            <w:proofErr w:type="spellEnd"/>
            <w:r>
              <w:t xml:space="preserve"> Институт экономики Уральского отд</w:t>
            </w:r>
            <w:r>
              <w:t xml:space="preserve">еления Российской академии наук, </w:t>
            </w:r>
            <w:r>
              <w:t>Региональн</w:t>
            </w:r>
            <w:r>
              <w:t xml:space="preserve">ая </w:t>
            </w:r>
            <w:r>
              <w:t>общественн</w:t>
            </w:r>
            <w:r>
              <w:t>ая</w:t>
            </w:r>
            <w:r>
              <w:t xml:space="preserve"> организаци</w:t>
            </w:r>
            <w:r>
              <w:t>я</w:t>
            </w:r>
            <w:r>
              <w:t xml:space="preserve"> «Свердловская региональная ассоциация выпус</w:t>
            </w:r>
            <w:r>
              <w:t>кников Президентской программы»</w:t>
            </w:r>
          </w:p>
          <w:p w:rsidR="00AE68B5" w:rsidRDefault="00AE68B5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B5" w:rsidTr="00EC63D7">
        <w:tc>
          <w:tcPr>
            <w:tcW w:w="491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AE68B5" w:rsidRDefault="007E1417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B5" w:rsidTr="00EC63D7">
        <w:tc>
          <w:tcPr>
            <w:tcW w:w="491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  <w:p w:rsidR="00C130AE" w:rsidRPr="00FE7CE0" w:rsidRDefault="00C130AE" w:rsidP="006A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AE68B5" w:rsidRDefault="007E1417" w:rsidP="0065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E82" w:rsidRPr="00657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7C4D" w:rsidRPr="0065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B5" w:rsidTr="00EC63D7">
        <w:tc>
          <w:tcPr>
            <w:tcW w:w="491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AE68B5" w:rsidRDefault="007E1417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361" w:rsidTr="00EC63D7">
        <w:tc>
          <w:tcPr>
            <w:tcW w:w="491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</w:t>
            </w:r>
            <w:proofErr w:type="spellStart"/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994361" w:rsidRDefault="007E1417" w:rsidP="00A8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361" w:rsidTr="00EC63D7">
        <w:tc>
          <w:tcPr>
            <w:tcW w:w="491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</w:t>
            </w:r>
            <w:r w:rsidR="00396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994361" w:rsidRDefault="007E1417" w:rsidP="00A8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53FCD" w:rsidTr="00EC63D7">
        <w:tc>
          <w:tcPr>
            <w:tcW w:w="491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(с приложением протоколов </w:t>
            </w:r>
            <w:proofErr w:type="spellStart"/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spellEnd"/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совещаний)</w:t>
            </w:r>
          </w:p>
        </w:tc>
        <w:tc>
          <w:tcPr>
            <w:tcW w:w="6237" w:type="dxa"/>
          </w:tcPr>
          <w:p w:rsidR="00E53FCD" w:rsidRDefault="007E1417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10" w:rsidTr="00EC63D7">
        <w:tc>
          <w:tcPr>
            <w:tcW w:w="491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70F10" w:rsidRPr="00657C4D" w:rsidRDefault="007E1417" w:rsidP="00DA18CF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70F10" w:rsidTr="00EC63D7">
        <w:tc>
          <w:tcPr>
            <w:tcW w:w="491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70F10" w:rsidRDefault="007E1417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10" w:rsidRPr="008D4154" w:rsidTr="00EC63D7">
        <w:tc>
          <w:tcPr>
            <w:tcW w:w="491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8D4154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8D415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  <w:r w:rsidR="004C06BA" w:rsidRPr="008D415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130AE" w:rsidRPr="008D4154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70F10" w:rsidRPr="008D4154" w:rsidRDefault="008543F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AC4" w:rsidTr="005A13CA">
        <w:tc>
          <w:tcPr>
            <w:tcW w:w="491" w:type="dxa"/>
          </w:tcPr>
          <w:p w:rsidR="00115AC4" w:rsidRPr="00920E2B" w:rsidRDefault="00115AC4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7030A" w:rsidRPr="004C06BA" w:rsidRDefault="0007030A" w:rsidP="000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сроков размещения итоговых документов ОРВ (заключений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115AC4" w:rsidRDefault="00115AC4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8543FC" w:rsidRDefault="00A95115" w:rsidP="00A9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51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43FC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проходил процедуру ОРВ в период с </w:t>
            </w:r>
          </w:p>
          <w:p w:rsidR="008543FC" w:rsidRDefault="008543FC" w:rsidP="00A9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3FC">
              <w:rPr>
                <w:rFonts w:ascii="Times New Roman" w:hAnsi="Times New Roman" w:cs="Times New Roman"/>
                <w:sz w:val="24"/>
                <w:szCs w:val="24"/>
              </w:rPr>
              <w:t>с 21.01.2016 по 30.01.2016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543FC" w:rsidRPr="008543FC" w:rsidRDefault="008543FC" w:rsidP="00A9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публичных консультаций Заключение и сводка предложений направлены разработчику в установленный срок.</w:t>
            </w:r>
          </w:p>
          <w:p w:rsidR="00115AC4" w:rsidRPr="002643F6" w:rsidRDefault="00115AC4" w:rsidP="00A95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19" w:rsidTr="005A13CA">
        <w:tc>
          <w:tcPr>
            <w:tcW w:w="491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6371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863719" w:rsidRPr="002643F6" w:rsidRDefault="008543FC" w:rsidP="0007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 принято решение об отказе в дальнейшей разработке законопроекта.</w:t>
            </w:r>
          </w:p>
        </w:tc>
      </w:tr>
      <w:tr w:rsidR="00920E2B" w:rsidTr="00EC63D7">
        <w:tc>
          <w:tcPr>
            <w:tcW w:w="491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20E2B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920E2B" w:rsidRDefault="008543F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7CE0" w:rsidRPr="003A3CE6" w:rsidRDefault="00FE7CE0" w:rsidP="00FE7C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3CE6" w:rsidRPr="00A4482A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A3CE6" w:rsidRPr="00A4482A" w:rsidSect="00F26FCA">
      <w:head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4C" w:rsidRDefault="005C2E4C" w:rsidP="001455C4">
      <w:pPr>
        <w:spacing w:after="0" w:line="240" w:lineRule="auto"/>
      </w:pPr>
      <w:r>
        <w:separator/>
      </w:r>
    </w:p>
  </w:endnote>
  <w:endnote w:type="continuationSeparator" w:id="0">
    <w:p w:rsidR="005C2E4C" w:rsidRDefault="005C2E4C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4C" w:rsidRDefault="005C2E4C" w:rsidP="001455C4">
      <w:pPr>
        <w:spacing w:after="0" w:line="240" w:lineRule="auto"/>
      </w:pPr>
      <w:r>
        <w:separator/>
      </w:r>
    </w:p>
  </w:footnote>
  <w:footnote w:type="continuationSeparator" w:id="0">
    <w:p w:rsidR="005C2E4C" w:rsidRDefault="005C2E4C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83972"/>
      <w:docPartObj>
        <w:docPartGallery w:val="Page Numbers (Top of Page)"/>
        <w:docPartUnique/>
      </w:docPartObj>
    </w:sdtPr>
    <w:sdtEndPr/>
    <w:sdtContent>
      <w:p w:rsidR="00D746BF" w:rsidRDefault="00A831AD">
        <w:pPr>
          <w:pStyle w:val="a5"/>
          <w:jc w:val="center"/>
        </w:pPr>
        <w:r w:rsidRPr="00D74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46BF" w:rsidRPr="00D746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4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43F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74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46BF" w:rsidRDefault="00D746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83977"/>
      <w:docPartObj>
        <w:docPartGallery w:val="Page Numbers (Top of Page)"/>
        <w:docPartUnique/>
      </w:docPartObj>
    </w:sdtPr>
    <w:sdtEndPr/>
    <w:sdtContent>
      <w:p w:rsidR="0036470E" w:rsidRDefault="0036470E">
        <w:pPr>
          <w:pStyle w:val="a5"/>
          <w:jc w:val="center"/>
        </w:pPr>
        <w:r w:rsidRPr="00F26FCA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757C73" w:rsidRDefault="00757C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2A3"/>
    <w:multiLevelType w:val="hybridMultilevel"/>
    <w:tmpl w:val="90F8E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32F49A7"/>
    <w:multiLevelType w:val="hybridMultilevel"/>
    <w:tmpl w:val="90F8E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278E"/>
    <w:multiLevelType w:val="hybridMultilevel"/>
    <w:tmpl w:val="39C0E2A4"/>
    <w:lvl w:ilvl="0" w:tplc="43686C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44003"/>
    <w:multiLevelType w:val="hybridMultilevel"/>
    <w:tmpl w:val="79C28E2A"/>
    <w:lvl w:ilvl="0" w:tplc="7498778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C4"/>
    <w:rsid w:val="00007109"/>
    <w:rsid w:val="00027680"/>
    <w:rsid w:val="0007030A"/>
    <w:rsid w:val="00097363"/>
    <w:rsid w:val="000F2FAE"/>
    <w:rsid w:val="00115AC4"/>
    <w:rsid w:val="001455C4"/>
    <w:rsid w:val="00170F10"/>
    <w:rsid w:val="00177C6F"/>
    <w:rsid w:val="00181B22"/>
    <w:rsid w:val="001B390A"/>
    <w:rsid w:val="001D4FDC"/>
    <w:rsid w:val="00213FD8"/>
    <w:rsid w:val="002643F6"/>
    <w:rsid w:val="00281866"/>
    <w:rsid w:val="002A1F8A"/>
    <w:rsid w:val="002B2A82"/>
    <w:rsid w:val="002E7DC4"/>
    <w:rsid w:val="00323B80"/>
    <w:rsid w:val="003345F3"/>
    <w:rsid w:val="00334937"/>
    <w:rsid w:val="003462EE"/>
    <w:rsid w:val="0036470E"/>
    <w:rsid w:val="003912EC"/>
    <w:rsid w:val="003969A1"/>
    <w:rsid w:val="003A3CE6"/>
    <w:rsid w:val="003B3E82"/>
    <w:rsid w:val="003C0532"/>
    <w:rsid w:val="003D40C2"/>
    <w:rsid w:val="003D623E"/>
    <w:rsid w:val="0040099C"/>
    <w:rsid w:val="00403A30"/>
    <w:rsid w:val="004062B5"/>
    <w:rsid w:val="00447123"/>
    <w:rsid w:val="004A63C6"/>
    <w:rsid w:val="004B597C"/>
    <w:rsid w:val="004C06BA"/>
    <w:rsid w:val="004E70F7"/>
    <w:rsid w:val="005233E7"/>
    <w:rsid w:val="0052594A"/>
    <w:rsid w:val="0054129B"/>
    <w:rsid w:val="00551D61"/>
    <w:rsid w:val="00577F2B"/>
    <w:rsid w:val="00587767"/>
    <w:rsid w:val="0059296E"/>
    <w:rsid w:val="005A13CA"/>
    <w:rsid w:val="005C2E4C"/>
    <w:rsid w:val="005C3D7A"/>
    <w:rsid w:val="00614C4F"/>
    <w:rsid w:val="006333E4"/>
    <w:rsid w:val="006430B4"/>
    <w:rsid w:val="00650C4C"/>
    <w:rsid w:val="00657C4D"/>
    <w:rsid w:val="00694898"/>
    <w:rsid w:val="006966DA"/>
    <w:rsid w:val="006A374C"/>
    <w:rsid w:val="006D5B49"/>
    <w:rsid w:val="00726C77"/>
    <w:rsid w:val="00757C73"/>
    <w:rsid w:val="00777158"/>
    <w:rsid w:val="00781786"/>
    <w:rsid w:val="00791C9E"/>
    <w:rsid w:val="007B1C02"/>
    <w:rsid w:val="007B3800"/>
    <w:rsid w:val="007C2832"/>
    <w:rsid w:val="007E1417"/>
    <w:rsid w:val="007E687D"/>
    <w:rsid w:val="00825C69"/>
    <w:rsid w:val="00852F1B"/>
    <w:rsid w:val="008543FC"/>
    <w:rsid w:val="00863719"/>
    <w:rsid w:val="00871B37"/>
    <w:rsid w:val="008818D0"/>
    <w:rsid w:val="008C2D29"/>
    <w:rsid w:val="008D4154"/>
    <w:rsid w:val="008F0C7F"/>
    <w:rsid w:val="00914BC8"/>
    <w:rsid w:val="00920E2B"/>
    <w:rsid w:val="00930997"/>
    <w:rsid w:val="009312E0"/>
    <w:rsid w:val="0095552A"/>
    <w:rsid w:val="00994361"/>
    <w:rsid w:val="009E0A69"/>
    <w:rsid w:val="009F70C6"/>
    <w:rsid w:val="00A4482A"/>
    <w:rsid w:val="00A44BCD"/>
    <w:rsid w:val="00A478B9"/>
    <w:rsid w:val="00A8065D"/>
    <w:rsid w:val="00A823D0"/>
    <w:rsid w:val="00A831AD"/>
    <w:rsid w:val="00A95115"/>
    <w:rsid w:val="00AB4E52"/>
    <w:rsid w:val="00AC15D6"/>
    <w:rsid w:val="00AD5058"/>
    <w:rsid w:val="00AE68B5"/>
    <w:rsid w:val="00AE795B"/>
    <w:rsid w:val="00B2610D"/>
    <w:rsid w:val="00B473FE"/>
    <w:rsid w:val="00B508EE"/>
    <w:rsid w:val="00B938AF"/>
    <w:rsid w:val="00BA23A9"/>
    <w:rsid w:val="00BB744A"/>
    <w:rsid w:val="00BD40CD"/>
    <w:rsid w:val="00BF2E65"/>
    <w:rsid w:val="00C130AE"/>
    <w:rsid w:val="00C510CC"/>
    <w:rsid w:val="00C93B72"/>
    <w:rsid w:val="00C96DCD"/>
    <w:rsid w:val="00D00868"/>
    <w:rsid w:val="00D04C6F"/>
    <w:rsid w:val="00D307F7"/>
    <w:rsid w:val="00D746BF"/>
    <w:rsid w:val="00D758F0"/>
    <w:rsid w:val="00DA18CF"/>
    <w:rsid w:val="00DD48CD"/>
    <w:rsid w:val="00DF33CB"/>
    <w:rsid w:val="00E01CF8"/>
    <w:rsid w:val="00E461C8"/>
    <w:rsid w:val="00E53FCD"/>
    <w:rsid w:val="00EA3D68"/>
    <w:rsid w:val="00EC4AE4"/>
    <w:rsid w:val="00EC63D7"/>
    <w:rsid w:val="00ED3C64"/>
    <w:rsid w:val="00EF364C"/>
    <w:rsid w:val="00F05AC1"/>
    <w:rsid w:val="00F26FCA"/>
    <w:rsid w:val="00F32066"/>
    <w:rsid w:val="00F55B36"/>
    <w:rsid w:val="00F655BF"/>
    <w:rsid w:val="00F76013"/>
    <w:rsid w:val="00F830C4"/>
    <w:rsid w:val="00FC07BE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6FC70F8A-4869-4690-AD26-CCBF6AFE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customStyle="1" w:styleId="ConsPlusNormal">
    <w:name w:val="ConsPlusNormal"/>
    <w:rsid w:val="003B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93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2E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5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1D61"/>
    <w:rPr>
      <w:b/>
      <w:bCs/>
    </w:rPr>
  </w:style>
  <w:style w:type="character" w:styleId="ad">
    <w:name w:val="Hyperlink"/>
    <w:basedOn w:val="a0"/>
    <w:uiPriority w:val="99"/>
    <w:semiHidden/>
    <w:unhideWhenUsed/>
    <w:rsid w:val="00551D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FC06F-0F1C-42D4-AAB2-C867903A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Урецкая Олеся Марковна</cp:lastModifiedBy>
  <cp:revision>5</cp:revision>
  <cp:lastPrinted>2016-07-04T08:03:00Z</cp:lastPrinted>
  <dcterms:created xsi:type="dcterms:W3CDTF">2016-07-04T11:33:00Z</dcterms:created>
  <dcterms:modified xsi:type="dcterms:W3CDTF">2016-08-22T12:37:00Z</dcterms:modified>
</cp:coreProperties>
</file>