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593" w:rsidRPr="005057BD" w:rsidRDefault="00492593" w:rsidP="0091282F">
      <w:pPr>
        <w:pStyle w:val="a3"/>
        <w:ind w:left="0" w:firstLine="0"/>
        <w:jc w:val="center"/>
        <w:rPr>
          <w:b/>
          <w:sz w:val="22"/>
          <w:szCs w:val="22"/>
        </w:rPr>
      </w:pPr>
      <w:r w:rsidRPr="005057BD">
        <w:rPr>
          <w:b/>
          <w:sz w:val="22"/>
          <w:szCs w:val="22"/>
        </w:rPr>
        <w:t>СВОДКА ПРЕДЛОЖЕНИЙ</w:t>
      </w:r>
    </w:p>
    <w:p w:rsidR="00A355C5" w:rsidRPr="005057BD" w:rsidRDefault="00F2275F" w:rsidP="00473B14">
      <w:pPr>
        <w:pStyle w:val="a5"/>
        <w:spacing w:before="0" w:beforeAutospacing="0" w:after="0" w:afterAutospacing="0"/>
        <w:jc w:val="center"/>
        <w:rPr>
          <w:b/>
          <w:smallCaps/>
          <w:color w:val="000000"/>
          <w:sz w:val="22"/>
          <w:szCs w:val="22"/>
        </w:rPr>
      </w:pPr>
      <w:r w:rsidRPr="005057BD">
        <w:rPr>
          <w:b/>
          <w:sz w:val="22"/>
          <w:szCs w:val="22"/>
        </w:rPr>
        <w:t>по результатам публичных консультаций</w:t>
      </w:r>
      <w:r w:rsidR="00C654B4" w:rsidRPr="005057BD">
        <w:rPr>
          <w:b/>
          <w:sz w:val="22"/>
          <w:szCs w:val="22"/>
        </w:rPr>
        <w:t xml:space="preserve"> </w:t>
      </w:r>
      <w:r w:rsidRPr="005057BD">
        <w:rPr>
          <w:b/>
          <w:sz w:val="22"/>
          <w:szCs w:val="22"/>
        </w:rPr>
        <w:t>по проек</w:t>
      </w:r>
      <w:r w:rsidR="00C654B4" w:rsidRPr="005057BD">
        <w:rPr>
          <w:b/>
          <w:sz w:val="22"/>
          <w:szCs w:val="22"/>
        </w:rPr>
        <w:t xml:space="preserve">ту </w:t>
      </w:r>
      <w:r w:rsidR="00A355C5" w:rsidRPr="005057BD">
        <w:rPr>
          <w:b/>
          <w:sz w:val="22"/>
          <w:szCs w:val="22"/>
        </w:rPr>
        <w:t>приказа Министерства строительства и развития инфраструктуры Свердловской области</w:t>
      </w:r>
    </w:p>
    <w:p w:rsidR="00473B14" w:rsidRPr="005057BD" w:rsidRDefault="00473B14" w:rsidP="00473B14">
      <w:pPr>
        <w:pStyle w:val="a5"/>
        <w:spacing w:before="0" w:beforeAutospacing="0" w:after="0" w:afterAutospacing="0"/>
        <w:jc w:val="center"/>
        <w:rPr>
          <w:b/>
          <w:smallCaps/>
          <w:color w:val="000000"/>
          <w:sz w:val="22"/>
          <w:szCs w:val="22"/>
        </w:rPr>
      </w:pPr>
      <w:r w:rsidRPr="005057BD">
        <w:rPr>
          <w:b/>
          <w:sz w:val="22"/>
          <w:szCs w:val="22"/>
        </w:rPr>
        <w:t xml:space="preserve">«О внесении изменений в Административный регламент  Министерства строительства и развития инфраструктуры Свердловской области предоставления государственной услуги </w:t>
      </w:r>
      <w:r w:rsidRPr="005057BD">
        <w:rPr>
          <w:b/>
          <w:color w:val="000000"/>
          <w:sz w:val="22"/>
          <w:szCs w:val="22"/>
        </w:rPr>
        <w:t xml:space="preserve">«Подготовка,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градостроительных планов земельных участков, предназначенных для  индивидуального жилищного строительства) в виде отдельного документа», утвержденного приказом </w:t>
      </w:r>
      <w:r w:rsidRPr="005057BD">
        <w:rPr>
          <w:b/>
          <w:sz w:val="22"/>
          <w:szCs w:val="22"/>
        </w:rPr>
        <w:t xml:space="preserve">Министерства строительства и развития инфраструктуры Свердловской области от 11.01.2016 № 2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w:t>
      </w:r>
      <w:r w:rsidRPr="005057BD">
        <w:rPr>
          <w:b/>
          <w:color w:val="000000"/>
          <w:sz w:val="22"/>
          <w:szCs w:val="22"/>
        </w:rPr>
        <w:t>«Подготовка,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градостроительных планов земельных участков, предназначенных для  индивидуального жилищного строительства) в виде отдельного документа»</w:t>
      </w:r>
      <w:r w:rsidRPr="005057BD">
        <w:rPr>
          <w:b/>
          <w:sz w:val="22"/>
          <w:szCs w:val="22"/>
        </w:rPr>
        <w:t xml:space="preserve"> вместе с Административным регламентом Министерства строительства и развития инфраструктуры Свердловской области  предоставления государственной услуги </w:t>
      </w:r>
      <w:r w:rsidRPr="005057BD">
        <w:rPr>
          <w:b/>
          <w:color w:val="000000"/>
          <w:sz w:val="22"/>
          <w:szCs w:val="22"/>
        </w:rPr>
        <w:t>«Подготовка,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градостроительных планов земельных участков, предназначенных для  индивидуального жилищного строительства) в виде отдельного документа».</w:t>
      </w:r>
    </w:p>
    <w:p w:rsidR="00DC6D09" w:rsidRPr="005057BD" w:rsidRDefault="00DC6D09" w:rsidP="00A355C5">
      <w:pPr>
        <w:pStyle w:val="a3"/>
        <w:ind w:left="0" w:firstLine="0"/>
        <w:rPr>
          <w:sz w:val="22"/>
          <w:szCs w:val="22"/>
        </w:rPr>
      </w:pPr>
    </w:p>
    <w:p w:rsidR="009A05FA" w:rsidRPr="005057BD" w:rsidRDefault="009A05FA" w:rsidP="009A05FA">
      <w:pPr>
        <w:rPr>
          <w:sz w:val="22"/>
          <w:szCs w:val="22"/>
        </w:rPr>
      </w:pPr>
    </w:p>
    <w:tbl>
      <w:tblPr>
        <w:tblStyle w:val="a6"/>
        <w:tblW w:w="0" w:type="auto"/>
        <w:tblLook w:val="04A0" w:firstRow="1" w:lastRow="0" w:firstColumn="1" w:lastColumn="0" w:noHBand="0" w:noVBand="1"/>
      </w:tblPr>
      <w:tblGrid>
        <w:gridCol w:w="670"/>
        <w:gridCol w:w="2820"/>
        <w:gridCol w:w="5466"/>
        <w:gridCol w:w="5604"/>
      </w:tblGrid>
      <w:tr w:rsidR="009A05FA" w:rsidRPr="005057BD" w:rsidTr="00855878">
        <w:tc>
          <w:tcPr>
            <w:tcW w:w="670" w:type="dxa"/>
          </w:tcPr>
          <w:p w:rsidR="009A05FA" w:rsidRPr="005057BD" w:rsidRDefault="009A05FA" w:rsidP="009A05FA">
            <w:pPr>
              <w:jc w:val="center"/>
              <w:rPr>
                <w:sz w:val="22"/>
                <w:szCs w:val="22"/>
              </w:rPr>
            </w:pPr>
            <w:r w:rsidRPr="005057BD">
              <w:rPr>
                <w:sz w:val="22"/>
                <w:szCs w:val="22"/>
              </w:rPr>
              <w:t>№</w:t>
            </w:r>
          </w:p>
        </w:tc>
        <w:tc>
          <w:tcPr>
            <w:tcW w:w="2820" w:type="dxa"/>
          </w:tcPr>
          <w:p w:rsidR="009A05FA" w:rsidRPr="005057BD" w:rsidRDefault="009A05FA" w:rsidP="009A05FA">
            <w:pPr>
              <w:jc w:val="center"/>
              <w:rPr>
                <w:sz w:val="22"/>
                <w:szCs w:val="22"/>
              </w:rPr>
            </w:pPr>
            <w:r w:rsidRPr="005057BD">
              <w:rPr>
                <w:sz w:val="22"/>
                <w:szCs w:val="22"/>
              </w:rPr>
              <w:t>Участник обсуждения</w:t>
            </w:r>
          </w:p>
        </w:tc>
        <w:tc>
          <w:tcPr>
            <w:tcW w:w="5466" w:type="dxa"/>
          </w:tcPr>
          <w:p w:rsidR="009A05FA" w:rsidRPr="005057BD" w:rsidRDefault="009A05FA" w:rsidP="009A05FA">
            <w:pPr>
              <w:jc w:val="center"/>
              <w:rPr>
                <w:sz w:val="22"/>
                <w:szCs w:val="22"/>
              </w:rPr>
            </w:pPr>
            <w:r w:rsidRPr="005057BD">
              <w:rPr>
                <w:sz w:val="22"/>
                <w:szCs w:val="22"/>
              </w:rPr>
              <w:t>Позиция участника обсуждения</w:t>
            </w:r>
          </w:p>
        </w:tc>
        <w:tc>
          <w:tcPr>
            <w:tcW w:w="5604" w:type="dxa"/>
          </w:tcPr>
          <w:p w:rsidR="009A05FA" w:rsidRPr="005057BD" w:rsidRDefault="009A05FA" w:rsidP="009A05FA">
            <w:pPr>
              <w:jc w:val="center"/>
              <w:rPr>
                <w:sz w:val="22"/>
                <w:szCs w:val="22"/>
              </w:rPr>
            </w:pPr>
            <w:r w:rsidRPr="005057BD">
              <w:rPr>
                <w:sz w:val="22"/>
                <w:szCs w:val="22"/>
              </w:rPr>
              <w:t>Комментарий разработчика</w:t>
            </w:r>
          </w:p>
        </w:tc>
      </w:tr>
      <w:tr w:rsidR="009A05FA" w:rsidRPr="005057BD" w:rsidTr="00855878">
        <w:tc>
          <w:tcPr>
            <w:tcW w:w="670" w:type="dxa"/>
          </w:tcPr>
          <w:p w:rsidR="009A05FA" w:rsidRPr="005057BD" w:rsidRDefault="009A05FA" w:rsidP="009A05FA">
            <w:pPr>
              <w:rPr>
                <w:sz w:val="22"/>
                <w:szCs w:val="22"/>
              </w:rPr>
            </w:pPr>
            <w:r w:rsidRPr="005057BD">
              <w:rPr>
                <w:sz w:val="22"/>
                <w:szCs w:val="22"/>
              </w:rPr>
              <w:t>1.</w:t>
            </w:r>
          </w:p>
        </w:tc>
        <w:tc>
          <w:tcPr>
            <w:tcW w:w="2820" w:type="dxa"/>
            <w:vAlign w:val="center"/>
          </w:tcPr>
          <w:p w:rsidR="009A05FA" w:rsidRPr="005057BD" w:rsidRDefault="009A05FA" w:rsidP="005B0F04">
            <w:pPr>
              <w:overflowPunct/>
              <w:autoSpaceDE/>
              <w:autoSpaceDN/>
              <w:adjustRightInd/>
              <w:spacing w:before="100" w:beforeAutospacing="1" w:after="100" w:afterAutospacing="1"/>
              <w:jc w:val="center"/>
              <w:rPr>
                <w:bCs/>
                <w:sz w:val="22"/>
                <w:szCs w:val="22"/>
              </w:rPr>
            </w:pPr>
            <w:r w:rsidRPr="005057BD">
              <w:rPr>
                <w:sz w:val="22"/>
                <w:szCs w:val="22"/>
              </w:rPr>
              <w:t>Свердловский областной Союз промышленников и предпринимателей</w:t>
            </w:r>
          </w:p>
        </w:tc>
        <w:tc>
          <w:tcPr>
            <w:tcW w:w="5466" w:type="dxa"/>
          </w:tcPr>
          <w:p w:rsidR="009A05FA" w:rsidRPr="005057BD" w:rsidRDefault="00855878" w:rsidP="00855878">
            <w:pPr>
              <w:jc w:val="center"/>
              <w:rPr>
                <w:sz w:val="22"/>
                <w:szCs w:val="22"/>
              </w:rPr>
            </w:pPr>
            <w:r w:rsidRPr="005057BD">
              <w:rPr>
                <w:sz w:val="22"/>
                <w:szCs w:val="22"/>
              </w:rPr>
              <w:t xml:space="preserve">Проект приказа не </w:t>
            </w:r>
            <w:proofErr w:type="gramStart"/>
            <w:r w:rsidRPr="005057BD">
              <w:rPr>
                <w:sz w:val="22"/>
                <w:szCs w:val="22"/>
              </w:rPr>
              <w:t>содержит  избыточных</w:t>
            </w:r>
            <w:proofErr w:type="gramEnd"/>
            <w:r w:rsidRPr="005057BD">
              <w:rPr>
                <w:sz w:val="22"/>
                <w:szCs w:val="22"/>
              </w:rPr>
              <w:t xml:space="preserve"> административных  и других ограничений в деятельности предпринимателей, а также не приведет  к необоснованным расходам</w:t>
            </w:r>
          </w:p>
        </w:tc>
        <w:tc>
          <w:tcPr>
            <w:tcW w:w="5604" w:type="dxa"/>
          </w:tcPr>
          <w:p w:rsidR="009A05FA" w:rsidRPr="005057BD" w:rsidRDefault="009A05FA" w:rsidP="009A05FA">
            <w:pPr>
              <w:rPr>
                <w:sz w:val="22"/>
                <w:szCs w:val="22"/>
              </w:rPr>
            </w:pPr>
          </w:p>
        </w:tc>
      </w:tr>
      <w:tr w:rsidR="005057BD" w:rsidRPr="005057BD" w:rsidTr="00A24A95">
        <w:tc>
          <w:tcPr>
            <w:tcW w:w="670" w:type="dxa"/>
            <w:vMerge w:val="restart"/>
          </w:tcPr>
          <w:p w:rsidR="005057BD" w:rsidRPr="005057BD" w:rsidRDefault="00A87494" w:rsidP="009A05FA">
            <w:pPr>
              <w:rPr>
                <w:sz w:val="22"/>
                <w:szCs w:val="22"/>
              </w:rPr>
            </w:pPr>
            <w:r>
              <w:rPr>
                <w:sz w:val="22"/>
                <w:szCs w:val="22"/>
              </w:rPr>
              <w:t>2</w:t>
            </w:r>
            <w:r w:rsidR="005057BD" w:rsidRPr="005057BD">
              <w:rPr>
                <w:sz w:val="22"/>
                <w:szCs w:val="22"/>
              </w:rPr>
              <w:t>.</w:t>
            </w:r>
          </w:p>
        </w:tc>
        <w:tc>
          <w:tcPr>
            <w:tcW w:w="2820" w:type="dxa"/>
            <w:vMerge w:val="restart"/>
            <w:vAlign w:val="center"/>
          </w:tcPr>
          <w:p w:rsidR="005057BD" w:rsidRPr="005057BD" w:rsidRDefault="005057BD" w:rsidP="00473B14">
            <w:pPr>
              <w:overflowPunct/>
              <w:autoSpaceDE/>
              <w:autoSpaceDN/>
              <w:adjustRightInd/>
              <w:spacing w:before="100" w:beforeAutospacing="1" w:after="100" w:afterAutospacing="1"/>
              <w:jc w:val="center"/>
              <w:rPr>
                <w:sz w:val="22"/>
                <w:szCs w:val="22"/>
              </w:rPr>
            </w:pPr>
            <w:r w:rsidRPr="005057BD">
              <w:rPr>
                <w:sz w:val="22"/>
                <w:szCs w:val="22"/>
              </w:rPr>
              <w:t xml:space="preserve">Координационный совет по оценке регулирующего </w:t>
            </w:r>
            <w:proofErr w:type="gramStart"/>
            <w:r w:rsidRPr="005057BD">
              <w:rPr>
                <w:sz w:val="22"/>
                <w:szCs w:val="22"/>
              </w:rPr>
              <w:t>воздействия  Экспертная</w:t>
            </w:r>
            <w:proofErr w:type="gramEnd"/>
            <w:r w:rsidRPr="005057BD">
              <w:rPr>
                <w:sz w:val="22"/>
                <w:szCs w:val="22"/>
              </w:rPr>
              <w:t xml:space="preserve"> группа «Условия ведения бизнеса» </w:t>
            </w:r>
          </w:p>
        </w:tc>
        <w:tc>
          <w:tcPr>
            <w:tcW w:w="11070" w:type="dxa"/>
            <w:gridSpan w:val="2"/>
          </w:tcPr>
          <w:p w:rsidR="005057BD" w:rsidRPr="005057BD" w:rsidRDefault="005057BD" w:rsidP="0096765C">
            <w:pPr>
              <w:jc w:val="center"/>
              <w:rPr>
                <w:sz w:val="22"/>
                <w:szCs w:val="22"/>
              </w:rPr>
            </w:pPr>
            <w:r w:rsidRPr="005057BD">
              <w:rPr>
                <w:color w:val="000000"/>
                <w:sz w:val="22"/>
                <w:szCs w:val="22"/>
              </w:rPr>
              <w:t>Замечания по содержанию уведомления о проведении публичных консультаций</w:t>
            </w:r>
          </w:p>
        </w:tc>
      </w:tr>
      <w:tr w:rsidR="005057BD" w:rsidRPr="005057BD" w:rsidTr="00855878">
        <w:tc>
          <w:tcPr>
            <w:tcW w:w="670" w:type="dxa"/>
            <w:vMerge/>
          </w:tcPr>
          <w:p w:rsidR="005057BD" w:rsidRPr="005057BD" w:rsidRDefault="005057BD" w:rsidP="009A05FA">
            <w:pPr>
              <w:rPr>
                <w:sz w:val="22"/>
                <w:szCs w:val="22"/>
              </w:rPr>
            </w:pPr>
          </w:p>
        </w:tc>
        <w:tc>
          <w:tcPr>
            <w:tcW w:w="2820" w:type="dxa"/>
            <w:vMerge/>
            <w:vAlign w:val="center"/>
          </w:tcPr>
          <w:p w:rsidR="005057BD" w:rsidRPr="005057BD" w:rsidRDefault="005057BD" w:rsidP="00473B14">
            <w:pPr>
              <w:overflowPunct/>
              <w:autoSpaceDE/>
              <w:autoSpaceDN/>
              <w:adjustRightInd/>
              <w:spacing w:before="100" w:beforeAutospacing="1" w:after="100" w:afterAutospacing="1"/>
              <w:jc w:val="center"/>
              <w:rPr>
                <w:sz w:val="22"/>
                <w:szCs w:val="22"/>
              </w:rPr>
            </w:pPr>
          </w:p>
        </w:tc>
        <w:tc>
          <w:tcPr>
            <w:tcW w:w="5466" w:type="dxa"/>
          </w:tcPr>
          <w:p w:rsidR="005057BD" w:rsidRPr="005057BD" w:rsidRDefault="005057BD" w:rsidP="00B263AB">
            <w:pPr>
              <w:jc w:val="both"/>
              <w:rPr>
                <w:sz w:val="22"/>
                <w:szCs w:val="22"/>
              </w:rPr>
            </w:pPr>
            <w:r w:rsidRPr="005057BD">
              <w:rPr>
                <w:sz w:val="22"/>
                <w:szCs w:val="22"/>
              </w:rPr>
              <w:t xml:space="preserve">Неверно сформулировано наименование Уведомления. </w:t>
            </w:r>
          </w:p>
          <w:p w:rsidR="005057BD" w:rsidRPr="005057BD" w:rsidRDefault="005057BD" w:rsidP="0096765C">
            <w:pPr>
              <w:ind w:firstLine="567"/>
              <w:jc w:val="both"/>
              <w:rPr>
                <w:sz w:val="22"/>
                <w:szCs w:val="22"/>
              </w:rPr>
            </w:pPr>
            <w:r w:rsidRPr="005057BD">
              <w:rPr>
                <w:sz w:val="22"/>
                <w:szCs w:val="22"/>
              </w:rPr>
              <w:t xml:space="preserve">Предложения: сформулировать наименование Уведомления следующим образом: «Уведомление о проведении публичных консультаций по проекту приказа Министерства строительства и развития инфраструктуры Свердловской области «О внесении изменений в Административный регламент Министерства строительства и развития инфраструктуры Свердловской области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объектов индивидуального жилищного строительства) в виде отдельного документа», утверждённый приказом Министерства строительства и развития </w:t>
            </w:r>
            <w:r w:rsidRPr="005057BD">
              <w:rPr>
                <w:sz w:val="22"/>
                <w:szCs w:val="22"/>
              </w:rPr>
              <w:lastRenderedPageBreak/>
              <w:t>инфраструктуры Свердловской области от 11.01.2016 № 2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объектов индивидуального жилищного строительства) в виде отдельного документа».</w:t>
            </w:r>
          </w:p>
          <w:p w:rsidR="005057BD" w:rsidRPr="005057BD" w:rsidRDefault="005057BD" w:rsidP="00F342B2">
            <w:pPr>
              <w:jc w:val="center"/>
              <w:rPr>
                <w:color w:val="000000"/>
                <w:sz w:val="22"/>
                <w:szCs w:val="22"/>
              </w:rPr>
            </w:pPr>
          </w:p>
        </w:tc>
        <w:tc>
          <w:tcPr>
            <w:tcW w:w="5604" w:type="dxa"/>
          </w:tcPr>
          <w:p w:rsidR="005057BD" w:rsidRPr="005057BD" w:rsidRDefault="005057BD" w:rsidP="009E0D0D">
            <w:pPr>
              <w:jc w:val="both"/>
              <w:rPr>
                <w:sz w:val="22"/>
                <w:szCs w:val="22"/>
              </w:rPr>
            </w:pPr>
            <w:r w:rsidRPr="005057BD">
              <w:rPr>
                <w:sz w:val="22"/>
                <w:szCs w:val="22"/>
              </w:rPr>
              <w:lastRenderedPageBreak/>
              <w:t>Предложение не учтено.</w:t>
            </w:r>
          </w:p>
          <w:p w:rsidR="005057BD" w:rsidRPr="005057BD" w:rsidRDefault="005057BD" w:rsidP="009E0D0D">
            <w:pPr>
              <w:jc w:val="both"/>
              <w:rPr>
                <w:sz w:val="22"/>
                <w:szCs w:val="22"/>
              </w:rPr>
            </w:pPr>
            <w:r w:rsidRPr="005057BD">
              <w:rPr>
                <w:sz w:val="22"/>
                <w:szCs w:val="22"/>
              </w:rPr>
              <w:t>Форма уведомления установлена приказом Министерства экономики Свердловской области от 02.12.2015 № 85</w:t>
            </w:r>
          </w:p>
        </w:tc>
      </w:tr>
      <w:tr w:rsidR="005057BD" w:rsidRPr="005057BD" w:rsidTr="00855878">
        <w:tc>
          <w:tcPr>
            <w:tcW w:w="670" w:type="dxa"/>
            <w:vMerge/>
          </w:tcPr>
          <w:p w:rsidR="005057BD" w:rsidRPr="005057BD" w:rsidRDefault="005057BD" w:rsidP="009A05FA">
            <w:pPr>
              <w:rPr>
                <w:sz w:val="22"/>
                <w:szCs w:val="22"/>
              </w:rPr>
            </w:pPr>
          </w:p>
        </w:tc>
        <w:tc>
          <w:tcPr>
            <w:tcW w:w="2820" w:type="dxa"/>
            <w:vMerge/>
            <w:vAlign w:val="center"/>
          </w:tcPr>
          <w:p w:rsidR="005057BD" w:rsidRPr="005057BD" w:rsidRDefault="005057BD" w:rsidP="00473B14">
            <w:pPr>
              <w:overflowPunct/>
              <w:autoSpaceDE/>
              <w:autoSpaceDN/>
              <w:adjustRightInd/>
              <w:spacing w:before="100" w:beforeAutospacing="1" w:after="100" w:afterAutospacing="1"/>
              <w:jc w:val="center"/>
              <w:rPr>
                <w:sz w:val="22"/>
                <w:szCs w:val="22"/>
              </w:rPr>
            </w:pPr>
          </w:p>
        </w:tc>
        <w:tc>
          <w:tcPr>
            <w:tcW w:w="5466" w:type="dxa"/>
          </w:tcPr>
          <w:p w:rsidR="005057BD" w:rsidRPr="005057BD" w:rsidRDefault="005057BD" w:rsidP="0096765C">
            <w:pPr>
              <w:ind w:firstLine="567"/>
              <w:jc w:val="both"/>
              <w:rPr>
                <w:sz w:val="22"/>
                <w:szCs w:val="22"/>
              </w:rPr>
            </w:pPr>
            <w:r w:rsidRPr="005057BD">
              <w:rPr>
                <w:sz w:val="22"/>
                <w:szCs w:val="22"/>
              </w:rPr>
              <w:t>Содержание п. 6.3. Уведомления не соответствует его наименованию.</w:t>
            </w:r>
          </w:p>
          <w:p w:rsidR="005057BD" w:rsidRPr="005057BD" w:rsidRDefault="005057BD" w:rsidP="0096765C">
            <w:pPr>
              <w:ind w:firstLine="567"/>
              <w:jc w:val="both"/>
              <w:rPr>
                <w:sz w:val="22"/>
                <w:szCs w:val="22"/>
              </w:rPr>
            </w:pPr>
            <w:r w:rsidRPr="005057BD">
              <w:rPr>
                <w:sz w:val="22"/>
                <w:szCs w:val="22"/>
              </w:rPr>
              <w:t>Как представляется, в п. 6.3. Уведомления необходимо перечислить меры, которые были направлены на решение существующей проблемы и устранение связанных с ней негативных эффектов, а не меры, которые необходимо принять на сегодняшний день.</w:t>
            </w:r>
          </w:p>
          <w:p w:rsidR="005057BD" w:rsidRPr="005057BD" w:rsidRDefault="005057BD" w:rsidP="0096765C">
            <w:pPr>
              <w:ind w:firstLine="567"/>
              <w:jc w:val="both"/>
              <w:rPr>
                <w:sz w:val="22"/>
                <w:szCs w:val="22"/>
              </w:rPr>
            </w:pPr>
            <w:r w:rsidRPr="005057BD">
              <w:rPr>
                <w:sz w:val="22"/>
                <w:szCs w:val="22"/>
              </w:rPr>
              <w:t xml:space="preserve">Так, согласно </w:t>
            </w:r>
            <w:proofErr w:type="spellStart"/>
            <w:r w:rsidRPr="005057BD">
              <w:rPr>
                <w:sz w:val="22"/>
                <w:szCs w:val="22"/>
              </w:rPr>
              <w:t>пп</w:t>
            </w:r>
            <w:proofErr w:type="spellEnd"/>
            <w:r w:rsidRPr="005057BD">
              <w:rPr>
                <w:sz w:val="22"/>
                <w:szCs w:val="22"/>
              </w:rPr>
              <w:t>. 5 п. 11 Методических рекомендаций, утвержденных приказом Министерства экономики Свердловской области от 02.12.2015 года № 85, если проблема существует в течение длительного времени, и предпринимались определённые меры, направленные на её решение, то необходимо указать, какие именно меры и когда были предприняты, каковы были результаты и почему принятые меры явились или являются недостаточными и не привели к достижению цели. Здесь же приводятся сведения об объёмах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5057BD" w:rsidRPr="005057BD" w:rsidRDefault="005057BD" w:rsidP="0096765C">
            <w:pPr>
              <w:ind w:firstLine="567"/>
              <w:jc w:val="both"/>
              <w:rPr>
                <w:sz w:val="22"/>
                <w:szCs w:val="22"/>
              </w:rPr>
            </w:pPr>
            <w:r w:rsidRPr="005057BD">
              <w:rPr>
                <w:sz w:val="22"/>
                <w:szCs w:val="22"/>
              </w:rPr>
              <w:t>Предложения: Вернуть документ на доработку. При доработке откорректировать содержание пункта с учетом вышеуказанных обстоятельств.</w:t>
            </w:r>
          </w:p>
          <w:p w:rsidR="005057BD" w:rsidRPr="005057BD" w:rsidRDefault="005057BD" w:rsidP="00F342B2">
            <w:pPr>
              <w:jc w:val="center"/>
              <w:rPr>
                <w:color w:val="000000"/>
                <w:sz w:val="22"/>
                <w:szCs w:val="22"/>
              </w:rPr>
            </w:pPr>
          </w:p>
        </w:tc>
        <w:tc>
          <w:tcPr>
            <w:tcW w:w="5604" w:type="dxa"/>
          </w:tcPr>
          <w:p w:rsidR="005057BD" w:rsidRPr="005057BD" w:rsidRDefault="005057BD" w:rsidP="00F04CE0">
            <w:pPr>
              <w:pStyle w:val="a5"/>
              <w:spacing w:before="0" w:beforeAutospacing="0" w:after="0" w:afterAutospacing="0"/>
              <w:jc w:val="both"/>
              <w:rPr>
                <w:sz w:val="22"/>
                <w:szCs w:val="22"/>
              </w:rPr>
            </w:pPr>
            <w:proofErr w:type="gramStart"/>
            <w:r w:rsidRPr="005057BD">
              <w:rPr>
                <w:sz w:val="22"/>
                <w:szCs w:val="22"/>
              </w:rPr>
              <w:t>Предложение  учтено</w:t>
            </w:r>
            <w:proofErr w:type="gramEnd"/>
            <w:r w:rsidRPr="005057BD">
              <w:rPr>
                <w:sz w:val="22"/>
                <w:szCs w:val="22"/>
              </w:rPr>
              <w:t>.</w:t>
            </w:r>
          </w:p>
          <w:p w:rsidR="005057BD" w:rsidRPr="00777CD5" w:rsidRDefault="005057BD" w:rsidP="00A33E79">
            <w:pPr>
              <w:pStyle w:val="a5"/>
              <w:spacing w:before="0" w:beforeAutospacing="0" w:after="0" w:afterAutospacing="0"/>
              <w:jc w:val="both"/>
              <w:rPr>
                <w:sz w:val="22"/>
                <w:szCs w:val="22"/>
              </w:rPr>
            </w:pPr>
          </w:p>
        </w:tc>
      </w:tr>
      <w:tr w:rsidR="0096765C" w:rsidRPr="005057BD" w:rsidTr="00855878">
        <w:tc>
          <w:tcPr>
            <w:tcW w:w="670" w:type="dxa"/>
          </w:tcPr>
          <w:p w:rsidR="0096765C" w:rsidRPr="005057BD" w:rsidRDefault="0096765C" w:rsidP="009A05FA">
            <w:pPr>
              <w:rPr>
                <w:sz w:val="22"/>
                <w:szCs w:val="22"/>
              </w:rPr>
            </w:pPr>
          </w:p>
        </w:tc>
        <w:tc>
          <w:tcPr>
            <w:tcW w:w="2820" w:type="dxa"/>
            <w:vMerge/>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 xml:space="preserve">Пункт 8.3. Уведомления раскрыт </w:t>
            </w:r>
            <w:proofErr w:type="gramStart"/>
            <w:r w:rsidRPr="005057BD">
              <w:rPr>
                <w:sz w:val="22"/>
                <w:szCs w:val="22"/>
              </w:rPr>
              <w:t>не достаточно</w:t>
            </w:r>
            <w:proofErr w:type="gramEnd"/>
            <w:r w:rsidRPr="005057BD">
              <w:rPr>
                <w:sz w:val="22"/>
                <w:szCs w:val="22"/>
              </w:rPr>
              <w:t xml:space="preserve"> широко.</w:t>
            </w:r>
          </w:p>
          <w:p w:rsidR="0096765C" w:rsidRPr="005057BD" w:rsidRDefault="0096765C" w:rsidP="0096765C">
            <w:pPr>
              <w:ind w:firstLine="567"/>
              <w:jc w:val="both"/>
              <w:rPr>
                <w:sz w:val="22"/>
                <w:szCs w:val="22"/>
              </w:rPr>
            </w:pPr>
            <w:r w:rsidRPr="005057BD">
              <w:rPr>
                <w:sz w:val="22"/>
                <w:szCs w:val="22"/>
              </w:rPr>
              <w:lastRenderedPageBreak/>
              <w:t xml:space="preserve">В соответствии с </w:t>
            </w:r>
            <w:proofErr w:type="spellStart"/>
            <w:r w:rsidRPr="005057BD">
              <w:rPr>
                <w:sz w:val="22"/>
                <w:szCs w:val="22"/>
              </w:rPr>
              <w:t>пп</w:t>
            </w:r>
            <w:proofErr w:type="spellEnd"/>
            <w:r w:rsidRPr="005057BD">
              <w:rPr>
                <w:sz w:val="22"/>
                <w:szCs w:val="22"/>
              </w:rPr>
              <w:t xml:space="preserve">. 7 п. 11 Методических рекомендаций, утвержденных приказом Министерства экономики Свердловской области от 02.12.2015 года № 85, </w:t>
            </w:r>
            <w:proofErr w:type="gramStart"/>
            <w:r w:rsidRPr="005057BD">
              <w:rPr>
                <w:sz w:val="22"/>
                <w:szCs w:val="22"/>
              </w:rPr>
              <w:t>В</w:t>
            </w:r>
            <w:proofErr w:type="gramEnd"/>
            <w:r w:rsidRPr="005057BD">
              <w:rPr>
                <w:sz w:val="22"/>
                <w:szCs w:val="22"/>
              </w:rPr>
              <w:t xml:space="preserve"> пункте 8.3. раздела 8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РФ, Губернатора Свердловской области, Правительства Свердловской области приводится отдельно для каждой указанной цели. Также, при обосновании следует указывать конкретные положения указанных документов.</w:t>
            </w:r>
          </w:p>
          <w:p w:rsidR="0096765C" w:rsidRPr="005057BD" w:rsidRDefault="0096765C" w:rsidP="0096765C">
            <w:pPr>
              <w:ind w:firstLine="567"/>
              <w:jc w:val="both"/>
              <w:rPr>
                <w:sz w:val="22"/>
                <w:szCs w:val="22"/>
              </w:rPr>
            </w:pPr>
            <w:r w:rsidRPr="005057BD">
              <w:rPr>
                <w:sz w:val="22"/>
                <w:szCs w:val="22"/>
              </w:rPr>
              <w:t>Предложения: вернуть на доработку. При доработке обосновать соответствие целей предлагаемого регулирования принципам правового регулирования и иным указанным документам с учетом вышеуказанных обстоятельств.</w:t>
            </w:r>
          </w:p>
          <w:p w:rsidR="0096765C" w:rsidRPr="005057BD" w:rsidRDefault="0096765C" w:rsidP="00F342B2">
            <w:pPr>
              <w:jc w:val="center"/>
              <w:rPr>
                <w:color w:val="000000"/>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proofErr w:type="gramStart"/>
            <w:r w:rsidRPr="005057BD">
              <w:rPr>
                <w:sz w:val="22"/>
                <w:szCs w:val="22"/>
              </w:rPr>
              <w:lastRenderedPageBreak/>
              <w:t>Предложение  учтено</w:t>
            </w:r>
            <w:proofErr w:type="gramEnd"/>
            <w:r w:rsidRPr="005057BD">
              <w:rPr>
                <w:sz w:val="22"/>
                <w:szCs w:val="22"/>
              </w:rPr>
              <w:t>.</w:t>
            </w:r>
          </w:p>
          <w:p w:rsidR="0096765C" w:rsidRPr="005057BD" w:rsidRDefault="0096765C" w:rsidP="007C18DE">
            <w:pPr>
              <w:jc w:val="both"/>
              <w:rPr>
                <w:sz w:val="22"/>
                <w:szCs w:val="22"/>
              </w:rPr>
            </w:pPr>
          </w:p>
        </w:tc>
      </w:tr>
      <w:tr w:rsidR="005057BD" w:rsidRPr="005057BD" w:rsidTr="00855878">
        <w:tc>
          <w:tcPr>
            <w:tcW w:w="670" w:type="dxa"/>
            <w:vMerge w:val="restart"/>
          </w:tcPr>
          <w:p w:rsidR="005057BD" w:rsidRPr="005057BD" w:rsidRDefault="005057BD" w:rsidP="009A05FA">
            <w:pPr>
              <w:rPr>
                <w:sz w:val="22"/>
                <w:szCs w:val="22"/>
              </w:rPr>
            </w:pPr>
          </w:p>
        </w:tc>
        <w:tc>
          <w:tcPr>
            <w:tcW w:w="2820" w:type="dxa"/>
            <w:vMerge w:val="restart"/>
            <w:vAlign w:val="center"/>
          </w:tcPr>
          <w:p w:rsidR="005057BD" w:rsidRPr="005057BD" w:rsidRDefault="005057BD" w:rsidP="00473B14">
            <w:pPr>
              <w:overflowPunct/>
              <w:autoSpaceDE/>
              <w:autoSpaceDN/>
              <w:adjustRightInd/>
              <w:spacing w:before="100" w:beforeAutospacing="1" w:after="100" w:afterAutospacing="1"/>
              <w:jc w:val="center"/>
              <w:rPr>
                <w:sz w:val="22"/>
                <w:szCs w:val="22"/>
              </w:rPr>
            </w:pPr>
          </w:p>
        </w:tc>
        <w:tc>
          <w:tcPr>
            <w:tcW w:w="5466" w:type="dxa"/>
          </w:tcPr>
          <w:p w:rsidR="005057BD" w:rsidRPr="005057BD" w:rsidRDefault="005057BD" w:rsidP="0096765C">
            <w:pPr>
              <w:ind w:firstLine="567"/>
              <w:jc w:val="both"/>
              <w:rPr>
                <w:sz w:val="22"/>
                <w:szCs w:val="22"/>
              </w:rPr>
            </w:pPr>
            <w:r w:rsidRPr="005057BD">
              <w:rPr>
                <w:sz w:val="22"/>
                <w:szCs w:val="22"/>
              </w:rPr>
              <w:t>Пункт 8.4. Уведомления не заполнен: отсутствует иная информация о целях предлагаемого регулирования.</w:t>
            </w:r>
          </w:p>
          <w:p w:rsidR="005057BD" w:rsidRPr="005057BD" w:rsidRDefault="005057BD" w:rsidP="0096765C">
            <w:pPr>
              <w:ind w:firstLine="567"/>
              <w:jc w:val="both"/>
              <w:rPr>
                <w:sz w:val="22"/>
                <w:szCs w:val="22"/>
              </w:rPr>
            </w:pPr>
            <w:r w:rsidRPr="005057BD">
              <w:rPr>
                <w:sz w:val="22"/>
                <w:szCs w:val="22"/>
              </w:rPr>
              <w:t xml:space="preserve">В соответствии с </w:t>
            </w:r>
            <w:proofErr w:type="spellStart"/>
            <w:r w:rsidRPr="005057BD">
              <w:rPr>
                <w:sz w:val="22"/>
                <w:szCs w:val="22"/>
              </w:rPr>
              <w:t>пп</w:t>
            </w:r>
            <w:proofErr w:type="spellEnd"/>
            <w:r w:rsidRPr="005057BD">
              <w:rPr>
                <w:sz w:val="22"/>
                <w:szCs w:val="22"/>
              </w:rPr>
              <w:t xml:space="preserve">. 7 п. 11 Методических рекомендаций, утвержденных приказом Министерства экономики Свердловской области от 02.12.2015 № 85 в разделе 8 цели должны быть указаны максимально конкретно, соответствовать заявленным проблемам, на решение которых направлено предлагаемое регулирование, а также содержанию предлагаемого проекта акта. Точное соответствие заявленной цели проблеме является ключевым условием эффективности мер предлагаемого регулирования. </w:t>
            </w:r>
          </w:p>
          <w:p w:rsidR="005057BD" w:rsidRPr="005057BD" w:rsidRDefault="005057BD" w:rsidP="0096765C">
            <w:pPr>
              <w:ind w:firstLine="567"/>
              <w:jc w:val="both"/>
              <w:rPr>
                <w:sz w:val="22"/>
                <w:szCs w:val="22"/>
              </w:rPr>
            </w:pPr>
            <w:r w:rsidRPr="005057BD">
              <w:rPr>
                <w:sz w:val="22"/>
                <w:szCs w:val="22"/>
              </w:rPr>
              <w:t>Предложения: вернуть на доработку. При доработке указать иную информацию о целях предлагаемого регулирования с учетом вышеуказанных обстоятельств.</w:t>
            </w:r>
          </w:p>
          <w:p w:rsidR="005057BD" w:rsidRPr="005057BD" w:rsidRDefault="005057BD" w:rsidP="00F342B2">
            <w:pPr>
              <w:jc w:val="center"/>
              <w:rPr>
                <w:color w:val="000000"/>
                <w:sz w:val="22"/>
                <w:szCs w:val="22"/>
              </w:rPr>
            </w:pPr>
          </w:p>
        </w:tc>
        <w:tc>
          <w:tcPr>
            <w:tcW w:w="5604" w:type="dxa"/>
          </w:tcPr>
          <w:p w:rsidR="005057BD" w:rsidRPr="005057BD" w:rsidRDefault="005057BD" w:rsidP="00B263AB">
            <w:pPr>
              <w:pStyle w:val="a5"/>
              <w:spacing w:before="0" w:beforeAutospacing="0" w:after="0" w:afterAutospacing="0"/>
              <w:jc w:val="both"/>
              <w:rPr>
                <w:sz w:val="22"/>
                <w:szCs w:val="22"/>
              </w:rPr>
            </w:pPr>
            <w:r w:rsidRPr="005057BD">
              <w:rPr>
                <w:sz w:val="22"/>
                <w:szCs w:val="22"/>
              </w:rPr>
              <w:t>Предложение не учтено.</w:t>
            </w:r>
          </w:p>
          <w:p w:rsidR="005057BD" w:rsidRPr="005057BD" w:rsidRDefault="005057BD" w:rsidP="009E0D0D">
            <w:pPr>
              <w:jc w:val="both"/>
              <w:rPr>
                <w:sz w:val="22"/>
                <w:szCs w:val="22"/>
              </w:rPr>
            </w:pPr>
            <w:r w:rsidRPr="005057BD">
              <w:rPr>
                <w:sz w:val="22"/>
                <w:szCs w:val="22"/>
              </w:rPr>
              <w:t xml:space="preserve">Иная информация о целях предлагаемого регулирования отсутствует. </w:t>
            </w:r>
          </w:p>
        </w:tc>
      </w:tr>
      <w:tr w:rsidR="005057BD" w:rsidRPr="005057BD" w:rsidTr="00855878">
        <w:tc>
          <w:tcPr>
            <w:tcW w:w="670" w:type="dxa"/>
            <w:vMerge/>
          </w:tcPr>
          <w:p w:rsidR="005057BD" w:rsidRPr="005057BD" w:rsidRDefault="005057BD" w:rsidP="009A05FA">
            <w:pPr>
              <w:rPr>
                <w:sz w:val="22"/>
                <w:szCs w:val="22"/>
              </w:rPr>
            </w:pPr>
          </w:p>
        </w:tc>
        <w:tc>
          <w:tcPr>
            <w:tcW w:w="2820" w:type="dxa"/>
            <w:vMerge/>
            <w:vAlign w:val="center"/>
          </w:tcPr>
          <w:p w:rsidR="005057BD" w:rsidRPr="005057BD" w:rsidRDefault="005057BD" w:rsidP="00473B14">
            <w:pPr>
              <w:overflowPunct/>
              <w:autoSpaceDE/>
              <w:autoSpaceDN/>
              <w:adjustRightInd/>
              <w:spacing w:before="100" w:beforeAutospacing="1" w:after="100" w:afterAutospacing="1"/>
              <w:jc w:val="center"/>
              <w:rPr>
                <w:sz w:val="22"/>
                <w:szCs w:val="22"/>
              </w:rPr>
            </w:pPr>
          </w:p>
        </w:tc>
        <w:tc>
          <w:tcPr>
            <w:tcW w:w="5466" w:type="dxa"/>
          </w:tcPr>
          <w:p w:rsidR="005057BD" w:rsidRPr="005057BD" w:rsidRDefault="005057BD" w:rsidP="0096765C">
            <w:pPr>
              <w:ind w:firstLine="567"/>
              <w:jc w:val="both"/>
              <w:rPr>
                <w:sz w:val="22"/>
                <w:szCs w:val="22"/>
              </w:rPr>
            </w:pPr>
            <w:r w:rsidRPr="005057BD">
              <w:rPr>
                <w:sz w:val="22"/>
                <w:szCs w:val="22"/>
              </w:rPr>
              <w:t>Содержание п. 11.1. Уведомления не соответствует действительности.</w:t>
            </w:r>
          </w:p>
          <w:p w:rsidR="005057BD" w:rsidRPr="005057BD" w:rsidRDefault="005057BD" w:rsidP="0096765C">
            <w:pPr>
              <w:ind w:firstLine="567"/>
              <w:jc w:val="both"/>
              <w:rPr>
                <w:sz w:val="22"/>
                <w:szCs w:val="22"/>
              </w:rPr>
            </w:pPr>
            <w:r w:rsidRPr="005057BD">
              <w:rPr>
                <w:sz w:val="22"/>
                <w:szCs w:val="22"/>
              </w:rPr>
              <w:lastRenderedPageBreak/>
              <w:t xml:space="preserve">Нет сомнений в том, что при принятии проекта нормативного правового акта всегда присутствуют риски решения проблемы предложенным способом, а также риски возникновения негативных последствий. В </w:t>
            </w:r>
            <w:proofErr w:type="spellStart"/>
            <w:r w:rsidRPr="005057BD">
              <w:rPr>
                <w:sz w:val="22"/>
                <w:szCs w:val="22"/>
              </w:rPr>
              <w:t>пп</w:t>
            </w:r>
            <w:proofErr w:type="spellEnd"/>
            <w:r w:rsidRPr="005057BD">
              <w:rPr>
                <w:sz w:val="22"/>
                <w:szCs w:val="22"/>
              </w:rPr>
              <w:t>. 15 п. 11 Методических рекомендаций, утвержденных приказом Министерства экономики Свердловской области от 02.12.2015 года № 85, подробно перечислены виды рисков, которые могут быть указаны в пункте 16.1. Уведомления при оценке рисков решения проблемы предложенным способом.</w:t>
            </w:r>
          </w:p>
          <w:p w:rsidR="005057BD" w:rsidRPr="005057BD" w:rsidRDefault="005057BD" w:rsidP="0096765C">
            <w:pPr>
              <w:ind w:firstLine="567"/>
              <w:jc w:val="both"/>
              <w:rPr>
                <w:sz w:val="22"/>
                <w:szCs w:val="22"/>
              </w:rPr>
            </w:pPr>
            <w:r w:rsidRPr="005057BD">
              <w:rPr>
                <w:sz w:val="22"/>
                <w:szCs w:val="22"/>
              </w:rPr>
              <w:t xml:space="preserve">Предложения: вернуть на доработку. При доработке откорректировать содержание пункта с учетом вышеуказанных обстоятельств. </w:t>
            </w:r>
          </w:p>
          <w:p w:rsidR="005057BD" w:rsidRPr="005057BD" w:rsidRDefault="005057BD" w:rsidP="00F342B2">
            <w:pPr>
              <w:jc w:val="center"/>
              <w:rPr>
                <w:color w:val="000000"/>
                <w:sz w:val="22"/>
                <w:szCs w:val="22"/>
              </w:rPr>
            </w:pPr>
          </w:p>
        </w:tc>
        <w:tc>
          <w:tcPr>
            <w:tcW w:w="5604" w:type="dxa"/>
          </w:tcPr>
          <w:p w:rsidR="005057BD" w:rsidRPr="005057BD" w:rsidRDefault="005057BD" w:rsidP="00B263AB">
            <w:pPr>
              <w:pStyle w:val="a5"/>
              <w:spacing w:before="0" w:beforeAutospacing="0" w:after="0" w:afterAutospacing="0"/>
              <w:jc w:val="both"/>
              <w:rPr>
                <w:sz w:val="22"/>
                <w:szCs w:val="22"/>
              </w:rPr>
            </w:pPr>
            <w:proofErr w:type="gramStart"/>
            <w:r w:rsidRPr="005057BD">
              <w:rPr>
                <w:sz w:val="22"/>
                <w:szCs w:val="22"/>
              </w:rPr>
              <w:lastRenderedPageBreak/>
              <w:t>Предложение  учтено</w:t>
            </w:r>
            <w:proofErr w:type="gramEnd"/>
            <w:r w:rsidRPr="005057BD">
              <w:rPr>
                <w:sz w:val="22"/>
                <w:szCs w:val="22"/>
              </w:rPr>
              <w:t>.</w:t>
            </w:r>
          </w:p>
          <w:p w:rsidR="005057BD" w:rsidRPr="005057BD" w:rsidRDefault="005057BD" w:rsidP="007C18DE">
            <w:pPr>
              <w:jc w:val="both"/>
              <w:rPr>
                <w:sz w:val="22"/>
                <w:szCs w:val="22"/>
              </w:rPr>
            </w:pPr>
          </w:p>
        </w:tc>
      </w:tr>
      <w:tr w:rsidR="0096765C" w:rsidRPr="005057BD" w:rsidTr="00C12F90">
        <w:tc>
          <w:tcPr>
            <w:tcW w:w="670" w:type="dxa"/>
          </w:tcPr>
          <w:p w:rsidR="0096765C" w:rsidRPr="005057BD" w:rsidRDefault="0096765C" w:rsidP="009A05FA">
            <w:pPr>
              <w:rPr>
                <w:sz w:val="22"/>
                <w:szCs w:val="22"/>
              </w:rPr>
            </w:pPr>
          </w:p>
        </w:tc>
        <w:tc>
          <w:tcPr>
            <w:tcW w:w="2820" w:type="dxa"/>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11070" w:type="dxa"/>
            <w:gridSpan w:val="2"/>
          </w:tcPr>
          <w:p w:rsidR="0096765C" w:rsidRPr="005057BD" w:rsidRDefault="0096765C" w:rsidP="0096765C">
            <w:pPr>
              <w:jc w:val="center"/>
              <w:rPr>
                <w:sz w:val="22"/>
                <w:szCs w:val="22"/>
              </w:rPr>
            </w:pPr>
            <w:r w:rsidRPr="005057BD">
              <w:rPr>
                <w:sz w:val="22"/>
                <w:szCs w:val="22"/>
              </w:rPr>
              <w:t>Предложения и замечания по тексту проекта административного регламента</w:t>
            </w:r>
          </w:p>
        </w:tc>
      </w:tr>
      <w:tr w:rsidR="00D7515F" w:rsidRPr="005057BD" w:rsidTr="00855878">
        <w:tc>
          <w:tcPr>
            <w:tcW w:w="670" w:type="dxa"/>
          </w:tcPr>
          <w:p w:rsidR="00D7515F" w:rsidRPr="005057BD" w:rsidRDefault="00D7515F" w:rsidP="009A05FA">
            <w:pPr>
              <w:rPr>
                <w:sz w:val="22"/>
                <w:szCs w:val="22"/>
              </w:rPr>
            </w:pPr>
          </w:p>
        </w:tc>
        <w:tc>
          <w:tcPr>
            <w:tcW w:w="2820" w:type="dxa"/>
            <w:vAlign w:val="center"/>
          </w:tcPr>
          <w:p w:rsidR="00D7515F" w:rsidRPr="005057BD" w:rsidRDefault="00D7515F"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 xml:space="preserve">Нужно усилить движение </w:t>
            </w:r>
            <w:proofErr w:type="gramStart"/>
            <w:r w:rsidRPr="005057BD">
              <w:rPr>
                <w:sz w:val="22"/>
                <w:szCs w:val="22"/>
              </w:rPr>
              <w:t>в строну</w:t>
            </w:r>
            <w:proofErr w:type="gramEnd"/>
            <w:r w:rsidRPr="005057BD">
              <w:rPr>
                <w:sz w:val="22"/>
                <w:szCs w:val="22"/>
              </w:rPr>
              <w:t xml:space="preserve"> </w:t>
            </w:r>
            <w:proofErr w:type="spellStart"/>
            <w:r w:rsidRPr="005057BD">
              <w:rPr>
                <w:sz w:val="22"/>
                <w:szCs w:val="22"/>
              </w:rPr>
              <w:t>электронофикации</w:t>
            </w:r>
            <w:proofErr w:type="spellEnd"/>
            <w:r w:rsidRPr="005057BD">
              <w:rPr>
                <w:sz w:val="22"/>
                <w:szCs w:val="22"/>
              </w:rPr>
              <w:t xml:space="preserve"> документооборота в рамках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в виде отдельного документа».</w:t>
            </w:r>
          </w:p>
          <w:p w:rsidR="0096765C" w:rsidRPr="005057BD" w:rsidRDefault="0096765C" w:rsidP="0096765C">
            <w:pPr>
              <w:ind w:firstLine="567"/>
              <w:jc w:val="both"/>
              <w:rPr>
                <w:sz w:val="22"/>
                <w:szCs w:val="22"/>
              </w:rPr>
            </w:pPr>
            <w:r w:rsidRPr="005057BD">
              <w:rPr>
                <w:sz w:val="22"/>
                <w:szCs w:val="22"/>
              </w:rPr>
              <w:t>Так, согласно п. 48 Проекта Акта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что приводит к завышенным срокам обработки данных.</w:t>
            </w:r>
          </w:p>
          <w:p w:rsidR="0096765C" w:rsidRPr="005057BD" w:rsidRDefault="0096765C" w:rsidP="0096765C">
            <w:pPr>
              <w:ind w:firstLine="567"/>
              <w:jc w:val="both"/>
              <w:rPr>
                <w:sz w:val="22"/>
                <w:szCs w:val="22"/>
              </w:rPr>
            </w:pPr>
            <w:r w:rsidRPr="005057BD">
              <w:rPr>
                <w:sz w:val="22"/>
                <w:szCs w:val="22"/>
              </w:rPr>
              <w:t>Предложения: вернуть на доработку. При доработке усилить обеспечение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w:t>
            </w:r>
          </w:p>
          <w:p w:rsidR="0096765C" w:rsidRPr="005057BD" w:rsidRDefault="0096765C" w:rsidP="0096765C">
            <w:pPr>
              <w:ind w:firstLine="567"/>
              <w:jc w:val="both"/>
              <w:rPr>
                <w:sz w:val="22"/>
                <w:szCs w:val="22"/>
              </w:rPr>
            </w:pPr>
          </w:p>
          <w:p w:rsidR="00D7515F" w:rsidRPr="005057BD" w:rsidRDefault="00D7515F" w:rsidP="00F342B2">
            <w:pPr>
              <w:jc w:val="center"/>
              <w:rPr>
                <w:color w:val="000000"/>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t>Предложение не учтено.</w:t>
            </w:r>
          </w:p>
          <w:p w:rsidR="007C18DE" w:rsidRPr="005057BD" w:rsidRDefault="007C18DE" w:rsidP="007C18DE">
            <w:pPr>
              <w:jc w:val="both"/>
              <w:rPr>
                <w:sz w:val="22"/>
                <w:szCs w:val="22"/>
              </w:rPr>
            </w:pPr>
            <w:r w:rsidRPr="005057BD">
              <w:rPr>
                <w:sz w:val="22"/>
                <w:szCs w:val="22"/>
              </w:rPr>
              <w:t xml:space="preserve">Указаны все возможные </w:t>
            </w:r>
            <w:proofErr w:type="gramStart"/>
            <w:r w:rsidRPr="005057BD">
              <w:rPr>
                <w:sz w:val="22"/>
                <w:szCs w:val="22"/>
              </w:rPr>
              <w:t>способы  направления</w:t>
            </w:r>
            <w:proofErr w:type="gramEnd"/>
            <w:r w:rsidRPr="005057BD">
              <w:rPr>
                <w:sz w:val="22"/>
                <w:szCs w:val="22"/>
              </w:rPr>
              <w:t xml:space="preserve"> межведомственных запросов. </w:t>
            </w:r>
          </w:p>
        </w:tc>
      </w:tr>
      <w:tr w:rsidR="00D7515F" w:rsidRPr="005057BD" w:rsidTr="00855878">
        <w:tc>
          <w:tcPr>
            <w:tcW w:w="670" w:type="dxa"/>
          </w:tcPr>
          <w:p w:rsidR="00D7515F" w:rsidRPr="005057BD" w:rsidRDefault="00D7515F" w:rsidP="009A05FA">
            <w:pPr>
              <w:rPr>
                <w:sz w:val="22"/>
                <w:szCs w:val="22"/>
              </w:rPr>
            </w:pPr>
          </w:p>
        </w:tc>
        <w:tc>
          <w:tcPr>
            <w:tcW w:w="2820" w:type="dxa"/>
            <w:vAlign w:val="center"/>
          </w:tcPr>
          <w:p w:rsidR="00D7515F" w:rsidRPr="005057BD" w:rsidRDefault="00D7515F"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Исходя из содержания п. 15 Проекта Акта, при подаче заявления о подготовке, утверждении и выдаче 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индивидуального жилищного строительства) в виде отдельного документа и необходимых документов через ГБУ СО «МФЦ» срок оказания услуги исчисляется со дня регистрации заявления в Министерстве.</w:t>
            </w:r>
          </w:p>
          <w:p w:rsidR="0096765C" w:rsidRPr="005057BD" w:rsidRDefault="0096765C" w:rsidP="0096765C">
            <w:pPr>
              <w:ind w:firstLine="567"/>
              <w:jc w:val="both"/>
              <w:rPr>
                <w:sz w:val="22"/>
                <w:szCs w:val="22"/>
              </w:rPr>
            </w:pPr>
            <w:r w:rsidRPr="005057BD">
              <w:rPr>
                <w:sz w:val="22"/>
                <w:szCs w:val="22"/>
              </w:rPr>
              <w:t>Предложения: вернуть на доработку. При доработке установить, что срок оказания услуги исчисляется со дня подачи заявления, а также необходимых документов в ГБУ СО «МФЦ» с учетом вышеуказанных обстоятельств.</w:t>
            </w:r>
          </w:p>
          <w:p w:rsidR="00D7515F" w:rsidRPr="005057BD" w:rsidRDefault="00D7515F" w:rsidP="00F342B2">
            <w:pPr>
              <w:jc w:val="center"/>
              <w:rPr>
                <w:color w:val="000000"/>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t>Предложение не учтено.</w:t>
            </w:r>
          </w:p>
          <w:p w:rsidR="00D6232A" w:rsidRPr="005057BD" w:rsidRDefault="00D6232A" w:rsidP="00D6232A">
            <w:pPr>
              <w:pStyle w:val="ConsPlusNormal"/>
              <w:jc w:val="both"/>
              <w:rPr>
                <w:rFonts w:ascii="Times New Roman" w:hAnsi="Times New Roman" w:cs="Times New Roman"/>
                <w:sz w:val="22"/>
                <w:szCs w:val="22"/>
              </w:rPr>
            </w:pPr>
            <w:r w:rsidRPr="005057BD">
              <w:rPr>
                <w:rFonts w:ascii="Times New Roman" w:hAnsi="Times New Roman" w:cs="Times New Roman"/>
                <w:sz w:val="22"/>
                <w:szCs w:val="22"/>
              </w:rPr>
              <w:t xml:space="preserve">Предоставление государственных услуг органов исполнительной власти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6" w:history="1">
              <w:r w:rsidRPr="005057BD">
                <w:rPr>
                  <w:rFonts w:ascii="Times New Roman" w:hAnsi="Times New Roman" w:cs="Times New Roman"/>
                  <w:sz w:val="22"/>
                  <w:szCs w:val="22"/>
                </w:rPr>
                <w:t>соглашений</w:t>
              </w:r>
            </w:hyperlink>
            <w:r w:rsidRPr="005057BD">
              <w:rPr>
                <w:rFonts w:ascii="Times New Roman" w:hAnsi="Times New Roman" w:cs="Times New Roman"/>
                <w:sz w:val="22"/>
                <w:szCs w:val="22"/>
              </w:rPr>
              <w:t xml:space="preserve"> о взаимодействии, заключенных органами исполнительной власти с уполномоченным многофункциональным центром.</w:t>
            </w:r>
          </w:p>
          <w:p w:rsidR="00D6232A" w:rsidRPr="005057BD" w:rsidRDefault="001012B6" w:rsidP="00D6232A">
            <w:pPr>
              <w:pStyle w:val="ConsPlusNormal"/>
              <w:jc w:val="both"/>
              <w:rPr>
                <w:rFonts w:ascii="Times New Roman" w:hAnsi="Times New Roman" w:cs="Times New Roman"/>
                <w:sz w:val="22"/>
                <w:szCs w:val="22"/>
              </w:rPr>
            </w:pPr>
            <w:hyperlink r:id="rId7" w:history="1">
              <w:r w:rsidR="00D6232A" w:rsidRPr="005057BD">
                <w:rPr>
                  <w:rFonts w:ascii="Times New Roman" w:hAnsi="Times New Roman" w:cs="Times New Roman"/>
                  <w:sz w:val="22"/>
                  <w:szCs w:val="22"/>
                </w:rPr>
                <w:t>Положение</w:t>
              </w:r>
            </w:hyperlink>
            <w:r w:rsidR="00D6232A" w:rsidRPr="005057BD">
              <w:rPr>
                <w:rFonts w:ascii="Times New Roman" w:hAnsi="Times New Roman" w:cs="Times New Roman"/>
                <w:sz w:val="22"/>
                <w:szCs w:val="22"/>
              </w:rPr>
              <w:t xml:space="preserve"> о требованиях к заключению соглашений о взаимодействии между многофункциональными центрами предоставлении государственных услуг и органами государственной власти субъектов Российской Федерации утверждено Постановлением Правительства Российской Федерации от 27 сентября 2011 г. № 797</w:t>
            </w:r>
          </w:p>
          <w:p w:rsidR="00D6232A" w:rsidRPr="005057BD" w:rsidRDefault="001012B6" w:rsidP="00D6232A">
            <w:pPr>
              <w:pStyle w:val="ConsPlusNormal"/>
              <w:jc w:val="both"/>
              <w:rPr>
                <w:rFonts w:ascii="Times New Roman" w:hAnsi="Times New Roman" w:cs="Times New Roman"/>
                <w:sz w:val="22"/>
                <w:szCs w:val="22"/>
              </w:rPr>
            </w:pPr>
            <w:hyperlink r:id="rId8" w:history="1">
              <w:proofErr w:type="gramStart"/>
              <w:r w:rsidR="00D6232A" w:rsidRPr="005057BD">
                <w:rPr>
                  <w:rFonts w:ascii="Times New Roman" w:hAnsi="Times New Roman" w:cs="Times New Roman"/>
                  <w:sz w:val="22"/>
                  <w:szCs w:val="22"/>
                </w:rPr>
                <w:t>Форма</w:t>
              </w:r>
            </w:hyperlink>
            <w:r w:rsidR="00D6232A" w:rsidRPr="005057BD">
              <w:rPr>
                <w:rFonts w:ascii="Times New Roman" w:hAnsi="Times New Roman" w:cs="Times New Roman"/>
                <w:sz w:val="22"/>
                <w:szCs w:val="22"/>
              </w:rPr>
              <w:t xml:space="preserve">  соглашения</w:t>
            </w:r>
            <w:proofErr w:type="gramEnd"/>
            <w:r w:rsidR="00D6232A" w:rsidRPr="005057BD">
              <w:rPr>
                <w:rFonts w:ascii="Times New Roman" w:hAnsi="Times New Roman" w:cs="Times New Roman"/>
                <w:sz w:val="22"/>
                <w:szCs w:val="22"/>
              </w:rPr>
              <w:t xml:space="preserve"> о взаимодействии между уполномоченным многофункциональным центром и органом исполнительной власти субъекта РФ утверждена приказом Минэкономразвития России от 18 января 2012 г. № 13.</w:t>
            </w:r>
          </w:p>
          <w:p w:rsidR="00D6232A" w:rsidRPr="005057BD" w:rsidRDefault="00D6232A" w:rsidP="00D6232A">
            <w:pPr>
              <w:pStyle w:val="ConsPlusNormal"/>
              <w:jc w:val="both"/>
              <w:rPr>
                <w:rFonts w:ascii="Times New Roman" w:hAnsi="Times New Roman" w:cs="Times New Roman"/>
                <w:sz w:val="22"/>
                <w:szCs w:val="22"/>
              </w:rPr>
            </w:pPr>
            <w:r w:rsidRPr="005057BD">
              <w:rPr>
                <w:rFonts w:ascii="Times New Roman" w:hAnsi="Times New Roman" w:cs="Times New Roman"/>
                <w:sz w:val="22"/>
                <w:szCs w:val="22"/>
              </w:rPr>
              <w:t xml:space="preserve">В соответствии с указанными правовыми актами установление порядка участия МФЦ   в </w:t>
            </w:r>
            <w:proofErr w:type="gramStart"/>
            <w:r w:rsidRPr="005057BD">
              <w:rPr>
                <w:rFonts w:ascii="Times New Roman" w:hAnsi="Times New Roman" w:cs="Times New Roman"/>
                <w:sz w:val="22"/>
                <w:szCs w:val="22"/>
              </w:rPr>
              <w:t>предоставлении  государственной</w:t>
            </w:r>
            <w:proofErr w:type="gramEnd"/>
            <w:r w:rsidRPr="005057BD">
              <w:rPr>
                <w:rFonts w:ascii="Times New Roman" w:hAnsi="Times New Roman" w:cs="Times New Roman"/>
                <w:sz w:val="22"/>
                <w:szCs w:val="22"/>
              </w:rPr>
              <w:t xml:space="preserve"> услуги, включая  момент определения  начального  срока предоставления государственных услуг,   осуществляет исполнительный орган государственной власти, непосредственно предоставляющий  государственную услугу и утверждающий  административный регламент предоставления государственной услуги.</w:t>
            </w:r>
          </w:p>
          <w:p w:rsidR="00D6232A" w:rsidRPr="005057BD" w:rsidRDefault="00D6232A" w:rsidP="00D6232A">
            <w:pPr>
              <w:jc w:val="both"/>
              <w:rPr>
                <w:sz w:val="22"/>
                <w:szCs w:val="22"/>
              </w:rPr>
            </w:pPr>
            <w:r w:rsidRPr="005057BD">
              <w:rPr>
                <w:sz w:val="22"/>
                <w:szCs w:val="22"/>
              </w:rPr>
              <w:t xml:space="preserve">Принимая во </w:t>
            </w:r>
            <w:proofErr w:type="gramStart"/>
            <w:r w:rsidRPr="005057BD">
              <w:rPr>
                <w:sz w:val="22"/>
                <w:szCs w:val="22"/>
              </w:rPr>
              <w:t>внимание  небольшие</w:t>
            </w:r>
            <w:proofErr w:type="gramEnd"/>
            <w:r w:rsidRPr="005057BD">
              <w:rPr>
                <w:sz w:val="22"/>
                <w:szCs w:val="22"/>
              </w:rPr>
              <w:t xml:space="preserve"> сроки предоставления государственной услуги, установленные законом, целесообразным и соответствующим требованиям закона,  начало предоставления государственной услуги исчислять с даты поступления заявления и документов в Министерство строительства и развития инфраструктуры Свердловской области.</w:t>
            </w:r>
          </w:p>
        </w:tc>
      </w:tr>
      <w:tr w:rsidR="00D7515F" w:rsidRPr="005057BD" w:rsidTr="00855878">
        <w:tc>
          <w:tcPr>
            <w:tcW w:w="670" w:type="dxa"/>
          </w:tcPr>
          <w:p w:rsidR="00D7515F" w:rsidRPr="005057BD" w:rsidRDefault="00D7515F" w:rsidP="009A05FA">
            <w:pPr>
              <w:rPr>
                <w:sz w:val="22"/>
                <w:szCs w:val="22"/>
              </w:rPr>
            </w:pPr>
          </w:p>
        </w:tc>
        <w:tc>
          <w:tcPr>
            <w:tcW w:w="2820" w:type="dxa"/>
            <w:vAlign w:val="center"/>
          </w:tcPr>
          <w:p w:rsidR="00D7515F" w:rsidRPr="005057BD" w:rsidRDefault="00D7515F"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 xml:space="preserve">В Проекте Акта не упоминается об отчете об исполнении Административного регламента </w:t>
            </w:r>
            <w:r w:rsidRPr="005057BD">
              <w:rPr>
                <w:sz w:val="22"/>
                <w:szCs w:val="22"/>
              </w:rPr>
              <w:lastRenderedPageBreak/>
              <w:t>Министерства строительства и развития инфраструктуры Свердловской области предоставления государственной услуги «Подготовка, утверждение и выдача градостроительных планов земельных участков, расположенных на территории муниципального образования «город Екатеринбург» (за исключением объектов индивидуального жилищного строительства) в виде отдельного документа».</w:t>
            </w:r>
          </w:p>
          <w:p w:rsidR="0096765C" w:rsidRPr="005057BD" w:rsidRDefault="0096765C" w:rsidP="0096765C">
            <w:pPr>
              <w:ind w:firstLine="567"/>
              <w:jc w:val="both"/>
              <w:rPr>
                <w:sz w:val="22"/>
                <w:szCs w:val="22"/>
              </w:rPr>
            </w:pPr>
            <w:r w:rsidRPr="005057BD">
              <w:rPr>
                <w:sz w:val="22"/>
                <w:szCs w:val="22"/>
              </w:rPr>
              <w:t>Предложения: вернуть на доработку. При доработке установить, что заместитель Министра строительства и развития инфраструктуры Свердловской области ежегодно подготавливает отчет об исполнении указанного Административного регламента и презентует его перед Общественным Советом при Министерстве строительства и развития инфраструктуры Свердловской области.</w:t>
            </w:r>
          </w:p>
          <w:p w:rsidR="00D7515F" w:rsidRPr="005057BD" w:rsidRDefault="00D7515F" w:rsidP="00F342B2">
            <w:pPr>
              <w:jc w:val="center"/>
              <w:rPr>
                <w:color w:val="000000"/>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lastRenderedPageBreak/>
              <w:t>Предложение не учтено.</w:t>
            </w:r>
          </w:p>
          <w:p w:rsidR="00D6232A" w:rsidRPr="005057BD" w:rsidRDefault="00D6232A" w:rsidP="00D6232A">
            <w:pPr>
              <w:pStyle w:val="a5"/>
              <w:spacing w:before="0" w:beforeAutospacing="0" w:after="0" w:afterAutospacing="0"/>
              <w:jc w:val="both"/>
              <w:rPr>
                <w:sz w:val="22"/>
                <w:szCs w:val="22"/>
              </w:rPr>
            </w:pPr>
            <w:r w:rsidRPr="005057BD">
              <w:rPr>
                <w:sz w:val="22"/>
                <w:szCs w:val="22"/>
              </w:rPr>
              <w:lastRenderedPageBreak/>
              <w:t xml:space="preserve">Административный регламент регулирует порядок взаимодействия между органом, предоставляющим государственную услуги, и заявителем. </w:t>
            </w:r>
          </w:p>
          <w:p w:rsidR="00D6232A" w:rsidRPr="005057BD" w:rsidRDefault="00D6232A" w:rsidP="00D6232A">
            <w:pPr>
              <w:pStyle w:val="a5"/>
              <w:spacing w:before="0" w:beforeAutospacing="0" w:after="0" w:afterAutospacing="0"/>
              <w:jc w:val="both"/>
              <w:rPr>
                <w:sz w:val="22"/>
                <w:szCs w:val="22"/>
              </w:rPr>
            </w:pPr>
            <w:r w:rsidRPr="005057BD">
              <w:rPr>
                <w:sz w:val="22"/>
                <w:szCs w:val="22"/>
              </w:rPr>
              <w:t>Порядок предоставления отчетов регулируется иными правовыми актами.</w:t>
            </w:r>
          </w:p>
        </w:tc>
      </w:tr>
      <w:tr w:rsidR="0096765C" w:rsidRPr="005057BD" w:rsidTr="00855878">
        <w:tc>
          <w:tcPr>
            <w:tcW w:w="670" w:type="dxa"/>
          </w:tcPr>
          <w:p w:rsidR="0096765C" w:rsidRPr="005057BD" w:rsidRDefault="0096765C" w:rsidP="009A05FA">
            <w:pPr>
              <w:rPr>
                <w:sz w:val="22"/>
                <w:szCs w:val="22"/>
              </w:rPr>
            </w:pPr>
          </w:p>
        </w:tc>
        <w:tc>
          <w:tcPr>
            <w:tcW w:w="2820" w:type="dxa"/>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 xml:space="preserve">В соответствии с п. 14 Проекта Акта, выдача подготовленного и утвержденного Министерством градостроительного плана земельного участка, расположенного на территории муниципального образования «город Екатеринбург» (за исключением градостроительного плана земельного участка, предназначенного для индивидуального жилищного строительства) в виде отдельного документа, отказ в предоставлении государственной услуги с указанием причин отказа осуществляется в течение 30 дней с даты регистрации заявления о предоставлении государственной услуги в Министерстве. </w:t>
            </w:r>
          </w:p>
          <w:p w:rsidR="0096765C" w:rsidRPr="005057BD" w:rsidRDefault="0096765C" w:rsidP="0096765C">
            <w:pPr>
              <w:ind w:firstLine="567"/>
              <w:jc w:val="both"/>
              <w:rPr>
                <w:sz w:val="22"/>
                <w:szCs w:val="22"/>
              </w:rPr>
            </w:pPr>
            <w:r w:rsidRPr="005057BD">
              <w:rPr>
                <w:sz w:val="22"/>
                <w:szCs w:val="22"/>
              </w:rPr>
              <w:t xml:space="preserve">Предложения: вернуть на доработку. При доработке сократить установленный срок до 20 календарных дней.  </w:t>
            </w:r>
          </w:p>
          <w:p w:rsidR="0096765C" w:rsidRPr="005057BD" w:rsidRDefault="0096765C" w:rsidP="0096765C">
            <w:pPr>
              <w:ind w:firstLine="567"/>
              <w:jc w:val="both"/>
              <w:rPr>
                <w:sz w:val="22"/>
                <w:szCs w:val="22"/>
              </w:rPr>
            </w:pPr>
          </w:p>
          <w:p w:rsidR="0096765C" w:rsidRPr="005057BD" w:rsidRDefault="0096765C" w:rsidP="0096765C">
            <w:pPr>
              <w:ind w:firstLine="567"/>
              <w:jc w:val="both"/>
              <w:rPr>
                <w:sz w:val="22"/>
                <w:szCs w:val="22"/>
              </w:rPr>
            </w:pPr>
            <w:r w:rsidRPr="005057BD">
              <w:rPr>
                <w:sz w:val="22"/>
                <w:szCs w:val="22"/>
              </w:rPr>
              <w:t xml:space="preserve">2.5. Предложения: дополнить содержание п. 12 Проекта Акта после слов «органы и организации» следующим текстом: </w:t>
            </w:r>
          </w:p>
          <w:p w:rsidR="0096765C" w:rsidRPr="005057BD" w:rsidRDefault="0096765C" w:rsidP="0096765C">
            <w:pPr>
              <w:jc w:val="center"/>
              <w:rPr>
                <w:color w:val="000000"/>
                <w:sz w:val="22"/>
                <w:szCs w:val="22"/>
              </w:rPr>
            </w:pPr>
            <w:r w:rsidRPr="005057BD">
              <w:rPr>
                <w:sz w:val="22"/>
                <w:szCs w:val="22"/>
              </w:rPr>
              <w:t>«…, но и предоставления документов, которые есть у государственных органов».</w:t>
            </w: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t>Предложение не учтено.</w:t>
            </w:r>
          </w:p>
          <w:p w:rsidR="004C1233" w:rsidRPr="005057BD" w:rsidRDefault="004C1233" w:rsidP="009E0D0D">
            <w:pPr>
              <w:jc w:val="both"/>
              <w:rPr>
                <w:sz w:val="22"/>
                <w:szCs w:val="22"/>
              </w:rPr>
            </w:pPr>
            <w:r w:rsidRPr="005057BD">
              <w:rPr>
                <w:sz w:val="22"/>
                <w:szCs w:val="22"/>
              </w:rPr>
              <w:t xml:space="preserve">Частью 17 статьи 46 Градостроительного кодекса РФ установлен срок для </w:t>
            </w:r>
            <w:proofErr w:type="gramStart"/>
            <w:r w:rsidRPr="005057BD">
              <w:rPr>
                <w:sz w:val="22"/>
                <w:szCs w:val="22"/>
              </w:rPr>
              <w:t>подготовки  градостроительного</w:t>
            </w:r>
            <w:proofErr w:type="gramEnd"/>
            <w:r w:rsidRPr="005057BD">
              <w:rPr>
                <w:sz w:val="22"/>
                <w:szCs w:val="22"/>
              </w:rPr>
              <w:t xml:space="preserve"> плана  в течение  тридцати дней.</w:t>
            </w: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4C1233" w:rsidRPr="005057BD" w:rsidRDefault="004C1233" w:rsidP="009E0D0D">
            <w:pPr>
              <w:jc w:val="both"/>
              <w:rPr>
                <w:sz w:val="22"/>
                <w:szCs w:val="22"/>
              </w:rPr>
            </w:pPr>
          </w:p>
          <w:p w:rsidR="001012B6" w:rsidRPr="005057BD" w:rsidRDefault="001012B6" w:rsidP="001012B6">
            <w:pPr>
              <w:pStyle w:val="a5"/>
              <w:spacing w:before="0" w:beforeAutospacing="0" w:after="0" w:afterAutospacing="0"/>
              <w:jc w:val="both"/>
              <w:rPr>
                <w:sz w:val="22"/>
                <w:szCs w:val="22"/>
              </w:rPr>
            </w:pPr>
            <w:r w:rsidRPr="005057BD">
              <w:rPr>
                <w:sz w:val="22"/>
                <w:szCs w:val="22"/>
              </w:rPr>
              <w:t>Предложение не учтено.</w:t>
            </w:r>
          </w:p>
          <w:p w:rsidR="004C1233" w:rsidRPr="005057BD" w:rsidRDefault="001356E8" w:rsidP="004C1233">
            <w:pPr>
              <w:jc w:val="both"/>
              <w:rPr>
                <w:rFonts w:eastAsia="Calibri"/>
                <w:sz w:val="22"/>
                <w:szCs w:val="22"/>
              </w:rPr>
            </w:pPr>
            <w:proofErr w:type="spellStart"/>
            <w:r w:rsidRPr="005057BD">
              <w:rPr>
                <w:sz w:val="22"/>
                <w:szCs w:val="22"/>
              </w:rPr>
              <w:t>п</w:t>
            </w:r>
            <w:r w:rsidR="004C1233" w:rsidRPr="005057BD">
              <w:rPr>
                <w:sz w:val="22"/>
                <w:szCs w:val="22"/>
              </w:rPr>
              <w:t>.12</w:t>
            </w:r>
            <w:proofErr w:type="spellEnd"/>
            <w:r w:rsidR="004C1233" w:rsidRPr="005057BD">
              <w:rPr>
                <w:sz w:val="22"/>
                <w:szCs w:val="22"/>
              </w:rPr>
              <w:t xml:space="preserve"> административного </w:t>
            </w:r>
            <w:proofErr w:type="gramStart"/>
            <w:r w:rsidR="004C1233" w:rsidRPr="005057BD">
              <w:rPr>
                <w:sz w:val="22"/>
                <w:szCs w:val="22"/>
              </w:rPr>
              <w:t>регламента  содержит</w:t>
            </w:r>
            <w:proofErr w:type="gramEnd"/>
            <w:r w:rsidR="004C1233" w:rsidRPr="005057BD">
              <w:rPr>
                <w:sz w:val="22"/>
                <w:szCs w:val="22"/>
              </w:rPr>
              <w:t xml:space="preserve"> исчерпывающее указание на запрет требования совершения действий</w:t>
            </w:r>
            <w:r w:rsidR="004C1233" w:rsidRPr="005057BD">
              <w:rPr>
                <w:rFonts w:eastAsia="Calibri"/>
                <w:sz w:val="22"/>
                <w:szCs w:val="22"/>
              </w:rPr>
              <w:t>, необходимых для получения государственной услуги и связанных с обращением в иные государственные органы и организации.</w:t>
            </w:r>
          </w:p>
          <w:p w:rsidR="004C1233" w:rsidRPr="005057BD" w:rsidRDefault="004C1233" w:rsidP="004C1233">
            <w:pPr>
              <w:jc w:val="both"/>
              <w:rPr>
                <w:sz w:val="22"/>
                <w:szCs w:val="22"/>
              </w:rPr>
            </w:pPr>
          </w:p>
        </w:tc>
      </w:tr>
      <w:tr w:rsidR="0096765C" w:rsidRPr="005057BD" w:rsidTr="00855878">
        <w:tc>
          <w:tcPr>
            <w:tcW w:w="670" w:type="dxa"/>
          </w:tcPr>
          <w:p w:rsidR="0096765C" w:rsidRPr="005057BD" w:rsidRDefault="0096765C" w:rsidP="009A05FA">
            <w:pPr>
              <w:rPr>
                <w:sz w:val="22"/>
                <w:szCs w:val="22"/>
              </w:rPr>
            </w:pPr>
          </w:p>
        </w:tc>
        <w:tc>
          <w:tcPr>
            <w:tcW w:w="2820" w:type="dxa"/>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 xml:space="preserve">Согласно п. 45 Проекта Акта, если есть основания для отказа в приеме заявления </w:t>
            </w:r>
            <w:proofErr w:type="gramStart"/>
            <w:r w:rsidRPr="005057BD">
              <w:rPr>
                <w:sz w:val="22"/>
                <w:szCs w:val="22"/>
              </w:rPr>
              <w:t>и  документов</w:t>
            </w:r>
            <w:proofErr w:type="gramEnd"/>
            <w:r w:rsidRPr="005057BD">
              <w:rPr>
                <w:sz w:val="22"/>
                <w:szCs w:val="22"/>
              </w:rPr>
              <w:t>, необходимых для предоставления государственной услуги, специалист Министерства  регистрирует заявление, сообщает заявителю о том, что в течение пяти рабочих дней ему будет подготовлен письменный мотивированный отказ в приеме документов, необходимых для предоставления государственной услуги. Указанный срок, по нашему мнению, необоснованно завышен.</w:t>
            </w:r>
          </w:p>
          <w:p w:rsidR="0096765C" w:rsidRPr="005057BD" w:rsidRDefault="0096765C" w:rsidP="0096765C">
            <w:pPr>
              <w:ind w:firstLine="567"/>
              <w:jc w:val="both"/>
              <w:rPr>
                <w:sz w:val="22"/>
                <w:szCs w:val="22"/>
              </w:rPr>
            </w:pPr>
            <w:r w:rsidRPr="005057BD">
              <w:rPr>
                <w:sz w:val="22"/>
                <w:szCs w:val="22"/>
              </w:rPr>
              <w:t>Предложения: вернуть на доработку. При доработке сократить срок до 3 рабочих дней с учетом вышеуказанных обстоятельств.</w:t>
            </w:r>
          </w:p>
          <w:p w:rsidR="0096765C" w:rsidRPr="005057BD" w:rsidRDefault="0096765C" w:rsidP="0096765C">
            <w:pPr>
              <w:ind w:firstLine="567"/>
              <w:jc w:val="both"/>
              <w:rPr>
                <w:sz w:val="22"/>
                <w:szCs w:val="22"/>
              </w:rPr>
            </w:pPr>
          </w:p>
          <w:p w:rsidR="0096765C" w:rsidRPr="005057BD" w:rsidRDefault="0096765C" w:rsidP="00F342B2">
            <w:pPr>
              <w:jc w:val="center"/>
              <w:rPr>
                <w:color w:val="000000"/>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t>Предложение не учтено.</w:t>
            </w:r>
          </w:p>
          <w:p w:rsidR="001356E8" w:rsidRPr="005057BD" w:rsidRDefault="001356E8" w:rsidP="009E0D0D">
            <w:pPr>
              <w:jc w:val="both"/>
              <w:rPr>
                <w:sz w:val="22"/>
                <w:szCs w:val="22"/>
              </w:rPr>
            </w:pPr>
            <w:r w:rsidRPr="005057BD">
              <w:rPr>
                <w:sz w:val="22"/>
                <w:szCs w:val="22"/>
              </w:rPr>
              <w:t>Установлен оптимальный срок для надлежащего изучения документов и подготовки мотивированного ответа.</w:t>
            </w:r>
          </w:p>
        </w:tc>
      </w:tr>
      <w:tr w:rsidR="0096765C" w:rsidRPr="005057BD" w:rsidTr="00855878">
        <w:tc>
          <w:tcPr>
            <w:tcW w:w="670" w:type="dxa"/>
          </w:tcPr>
          <w:p w:rsidR="0096765C" w:rsidRPr="005057BD" w:rsidRDefault="0096765C" w:rsidP="009A05FA">
            <w:pPr>
              <w:rPr>
                <w:sz w:val="22"/>
                <w:szCs w:val="22"/>
              </w:rPr>
            </w:pPr>
          </w:p>
        </w:tc>
        <w:tc>
          <w:tcPr>
            <w:tcW w:w="2820" w:type="dxa"/>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 xml:space="preserve">Согласно п. 48 Проекта Акта, вне зависимости от того, поступили или не поступили необходимые документы от заявителя, специалист Министерства направляет межведомственный запрос. Для чего тогда запрашивать документы у заявителя? </w:t>
            </w:r>
          </w:p>
          <w:p w:rsidR="0096765C" w:rsidRPr="005057BD" w:rsidRDefault="0096765C" w:rsidP="0096765C">
            <w:pPr>
              <w:ind w:firstLine="567"/>
              <w:jc w:val="both"/>
              <w:rPr>
                <w:sz w:val="22"/>
                <w:szCs w:val="22"/>
              </w:rPr>
            </w:pPr>
            <w:r w:rsidRPr="005057BD">
              <w:rPr>
                <w:sz w:val="22"/>
                <w:szCs w:val="22"/>
              </w:rPr>
              <w:t xml:space="preserve">Предложения: вернуть на доработку. При доработке исключить саму обязанность предоставления заявителем документов, которые находятся в разных государственных учреждениях. </w:t>
            </w:r>
          </w:p>
          <w:p w:rsidR="0096765C" w:rsidRPr="005057BD" w:rsidRDefault="0096765C" w:rsidP="0096765C">
            <w:pPr>
              <w:ind w:firstLine="567"/>
              <w:jc w:val="both"/>
              <w:rPr>
                <w:sz w:val="22"/>
                <w:szCs w:val="22"/>
              </w:rPr>
            </w:pPr>
          </w:p>
          <w:p w:rsidR="0096765C" w:rsidRPr="005057BD" w:rsidRDefault="0096765C" w:rsidP="0096765C">
            <w:pPr>
              <w:ind w:firstLine="567"/>
              <w:jc w:val="both"/>
              <w:rPr>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t>Предложение не учтено.</w:t>
            </w:r>
          </w:p>
          <w:p w:rsidR="001356E8" w:rsidRPr="005057BD" w:rsidRDefault="001356E8" w:rsidP="001356E8">
            <w:pPr>
              <w:jc w:val="both"/>
              <w:rPr>
                <w:sz w:val="22"/>
                <w:szCs w:val="22"/>
              </w:rPr>
            </w:pPr>
            <w:r w:rsidRPr="005057BD">
              <w:rPr>
                <w:sz w:val="22"/>
                <w:szCs w:val="22"/>
              </w:rPr>
              <w:t xml:space="preserve">Пунктом 47 административного регламента установлено, что основанием начала административной </w:t>
            </w:r>
            <w:proofErr w:type="gramStart"/>
            <w:r w:rsidRPr="005057BD">
              <w:rPr>
                <w:sz w:val="22"/>
                <w:szCs w:val="22"/>
              </w:rPr>
              <w:t>процедуры  является</w:t>
            </w:r>
            <w:proofErr w:type="gramEnd"/>
            <w:r w:rsidRPr="005057BD">
              <w:rPr>
                <w:sz w:val="22"/>
                <w:szCs w:val="22"/>
              </w:rPr>
              <w:t xml:space="preserve"> непредставление заявителем документов,  указанных в пункте  18 настоящего Административного регламента.</w:t>
            </w:r>
          </w:p>
          <w:p w:rsidR="001356E8" w:rsidRPr="005057BD" w:rsidRDefault="001356E8" w:rsidP="009E0D0D">
            <w:pPr>
              <w:jc w:val="both"/>
              <w:rPr>
                <w:sz w:val="22"/>
                <w:szCs w:val="22"/>
              </w:rPr>
            </w:pPr>
          </w:p>
        </w:tc>
      </w:tr>
      <w:tr w:rsidR="0096765C" w:rsidRPr="005057BD" w:rsidTr="00855878">
        <w:tc>
          <w:tcPr>
            <w:tcW w:w="670" w:type="dxa"/>
          </w:tcPr>
          <w:p w:rsidR="0096765C" w:rsidRPr="005057BD" w:rsidRDefault="0096765C" w:rsidP="009A05FA">
            <w:pPr>
              <w:rPr>
                <w:sz w:val="22"/>
                <w:szCs w:val="22"/>
              </w:rPr>
            </w:pPr>
          </w:p>
        </w:tc>
        <w:tc>
          <w:tcPr>
            <w:tcW w:w="2820" w:type="dxa"/>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В соответствии с п. 50 Проекта Акта запрашиваемые сведения поступают в Министерство в срок, не превышающий пяти рабочих дней со дня поступления межведомственных запросов в органы (организации), участвующие в предоставлении государственной услуги.</w:t>
            </w:r>
          </w:p>
          <w:p w:rsidR="0096765C" w:rsidRPr="005057BD" w:rsidRDefault="0096765C" w:rsidP="0096765C">
            <w:pPr>
              <w:ind w:firstLine="567"/>
              <w:jc w:val="both"/>
              <w:rPr>
                <w:sz w:val="22"/>
                <w:szCs w:val="22"/>
              </w:rPr>
            </w:pPr>
            <w:r w:rsidRPr="005057BD">
              <w:rPr>
                <w:sz w:val="22"/>
                <w:szCs w:val="22"/>
              </w:rPr>
              <w:t>Предложения: вернуть на доработку. При доработке сократить срок до 3 рабочих дней с учетом вышеуказанных обстоятельств.</w:t>
            </w:r>
          </w:p>
          <w:p w:rsidR="0096765C" w:rsidRPr="005057BD" w:rsidRDefault="0096765C" w:rsidP="0096765C">
            <w:pPr>
              <w:ind w:firstLine="567"/>
              <w:jc w:val="both"/>
              <w:rPr>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t>Предложение не учтено.</w:t>
            </w:r>
          </w:p>
          <w:p w:rsidR="001356E8" w:rsidRPr="005057BD" w:rsidRDefault="001356E8" w:rsidP="001356E8">
            <w:pPr>
              <w:jc w:val="both"/>
              <w:rPr>
                <w:sz w:val="22"/>
                <w:szCs w:val="22"/>
              </w:rPr>
            </w:pPr>
            <w:r w:rsidRPr="005057BD">
              <w:rPr>
                <w:sz w:val="22"/>
                <w:szCs w:val="22"/>
              </w:rPr>
              <w:t>Срок установлен в соответствии с Федеральным закон от 27 июля 2010 года № 210-ФЗ «Об организации предоставления государственных и муниципальных услуг»</w:t>
            </w:r>
          </w:p>
        </w:tc>
      </w:tr>
      <w:tr w:rsidR="0096765C" w:rsidRPr="005057BD" w:rsidTr="00855878">
        <w:tc>
          <w:tcPr>
            <w:tcW w:w="670" w:type="dxa"/>
          </w:tcPr>
          <w:p w:rsidR="0096765C" w:rsidRPr="005057BD" w:rsidRDefault="0096765C" w:rsidP="009A05FA">
            <w:pPr>
              <w:rPr>
                <w:sz w:val="22"/>
                <w:szCs w:val="22"/>
              </w:rPr>
            </w:pPr>
          </w:p>
        </w:tc>
        <w:tc>
          <w:tcPr>
            <w:tcW w:w="2820" w:type="dxa"/>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ind w:firstLine="567"/>
              <w:jc w:val="both"/>
              <w:rPr>
                <w:sz w:val="22"/>
                <w:szCs w:val="22"/>
              </w:rPr>
            </w:pPr>
            <w:r w:rsidRPr="005057BD">
              <w:rPr>
                <w:sz w:val="22"/>
                <w:szCs w:val="22"/>
              </w:rPr>
              <w:t>Согласно п. 18 Проекта Акта, перечень документов, необходимых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которые заявитель вправе представить, существенно увеличен. Более того, из перечня документов пропал эскизный проект.</w:t>
            </w:r>
          </w:p>
          <w:p w:rsidR="0096765C" w:rsidRPr="005057BD" w:rsidRDefault="0096765C" w:rsidP="0096765C">
            <w:pPr>
              <w:ind w:firstLine="567"/>
              <w:jc w:val="both"/>
              <w:rPr>
                <w:sz w:val="22"/>
                <w:szCs w:val="22"/>
              </w:rPr>
            </w:pPr>
            <w:r w:rsidRPr="005057BD">
              <w:rPr>
                <w:sz w:val="22"/>
                <w:szCs w:val="22"/>
              </w:rPr>
              <w:t>Предложения: вернуть на доработку. При доработке обосновать, с чем связано появление новых документов в указанном списке, и по какой причине из него был исключен эскизный проект.</w:t>
            </w:r>
          </w:p>
          <w:p w:rsidR="0096765C" w:rsidRPr="005057BD" w:rsidRDefault="0096765C" w:rsidP="0096765C">
            <w:pPr>
              <w:ind w:firstLine="567"/>
              <w:jc w:val="both"/>
              <w:rPr>
                <w:sz w:val="22"/>
                <w:szCs w:val="22"/>
              </w:rPr>
            </w:pPr>
          </w:p>
        </w:tc>
        <w:tc>
          <w:tcPr>
            <w:tcW w:w="5604" w:type="dxa"/>
          </w:tcPr>
          <w:p w:rsidR="00B263AB" w:rsidRPr="005057BD" w:rsidRDefault="00B263AB" w:rsidP="00B263AB">
            <w:pPr>
              <w:pStyle w:val="a5"/>
              <w:spacing w:before="0" w:beforeAutospacing="0" w:after="0" w:afterAutospacing="0"/>
              <w:jc w:val="both"/>
              <w:rPr>
                <w:sz w:val="22"/>
                <w:szCs w:val="22"/>
              </w:rPr>
            </w:pPr>
            <w:r w:rsidRPr="005057BD">
              <w:rPr>
                <w:sz w:val="22"/>
                <w:szCs w:val="22"/>
              </w:rPr>
              <w:t>Предложение не учтено.</w:t>
            </w:r>
          </w:p>
          <w:p w:rsidR="00B263AB" w:rsidRPr="005057BD" w:rsidRDefault="00B263AB" w:rsidP="001012B6">
            <w:pPr>
              <w:overflowPunct/>
              <w:autoSpaceDE/>
              <w:autoSpaceDN/>
              <w:adjustRightInd/>
              <w:ind w:left="34" w:hanging="31"/>
              <w:contextualSpacing/>
              <w:jc w:val="both"/>
              <w:rPr>
                <w:sz w:val="22"/>
                <w:szCs w:val="22"/>
              </w:rPr>
            </w:pPr>
            <w:r w:rsidRPr="00B263AB">
              <w:rPr>
                <w:kern w:val="16"/>
                <w:sz w:val="22"/>
                <w:szCs w:val="22"/>
              </w:rPr>
              <w:t>В процессе практической реализации положений Административного регламента выявлена неактуальность перечня документов, которые находятся в распоряжении иных органов и организаций, которые вправе представить заявитель</w:t>
            </w:r>
            <w:r w:rsidRPr="005057BD">
              <w:rPr>
                <w:kern w:val="16"/>
                <w:sz w:val="22"/>
                <w:szCs w:val="22"/>
              </w:rPr>
              <w:t xml:space="preserve">, </w:t>
            </w:r>
            <w:proofErr w:type="gramStart"/>
            <w:r w:rsidRPr="005057BD">
              <w:rPr>
                <w:kern w:val="16"/>
                <w:sz w:val="22"/>
                <w:szCs w:val="22"/>
              </w:rPr>
              <w:t xml:space="preserve">после </w:t>
            </w:r>
            <w:r w:rsidRPr="00B263AB">
              <w:rPr>
                <w:sz w:val="22"/>
                <w:szCs w:val="22"/>
              </w:rPr>
              <w:t xml:space="preserve"> пересмотра</w:t>
            </w:r>
            <w:proofErr w:type="gramEnd"/>
            <w:r w:rsidRPr="00B263AB">
              <w:rPr>
                <w:sz w:val="22"/>
                <w:szCs w:val="22"/>
              </w:rPr>
              <w:t xml:space="preserve"> перечня сведений и информации, подлежащих запросу в рамках межведомственного взаимодействия</w:t>
            </w:r>
            <w:r w:rsidRPr="005057BD">
              <w:rPr>
                <w:sz w:val="22"/>
                <w:szCs w:val="22"/>
              </w:rPr>
              <w:t>, перечень документов, которые вправе представить заявитель откорректирован, наличие эскизного проекта также утратило свою актуальность.</w:t>
            </w:r>
          </w:p>
          <w:p w:rsidR="00B263AB" w:rsidRPr="005057BD" w:rsidRDefault="00B263AB" w:rsidP="00B263AB">
            <w:pPr>
              <w:overflowPunct/>
              <w:autoSpaceDE/>
              <w:autoSpaceDN/>
              <w:adjustRightInd/>
              <w:ind w:left="34" w:firstLine="709"/>
              <w:contextualSpacing/>
              <w:jc w:val="both"/>
              <w:rPr>
                <w:sz w:val="22"/>
                <w:szCs w:val="22"/>
              </w:rPr>
            </w:pPr>
          </w:p>
        </w:tc>
      </w:tr>
      <w:tr w:rsidR="0096765C" w:rsidRPr="005057BD" w:rsidTr="00855878">
        <w:tc>
          <w:tcPr>
            <w:tcW w:w="670" w:type="dxa"/>
          </w:tcPr>
          <w:p w:rsidR="0096765C" w:rsidRPr="005057BD" w:rsidRDefault="0096765C" w:rsidP="009A05FA">
            <w:pPr>
              <w:rPr>
                <w:sz w:val="22"/>
                <w:szCs w:val="22"/>
              </w:rPr>
            </w:pPr>
          </w:p>
        </w:tc>
        <w:tc>
          <w:tcPr>
            <w:tcW w:w="2820" w:type="dxa"/>
            <w:vAlign w:val="center"/>
          </w:tcPr>
          <w:p w:rsidR="0096765C" w:rsidRPr="005057BD" w:rsidRDefault="0096765C" w:rsidP="00473B14">
            <w:pPr>
              <w:overflowPunct/>
              <w:autoSpaceDE/>
              <w:autoSpaceDN/>
              <w:adjustRightInd/>
              <w:spacing w:before="100" w:beforeAutospacing="1" w:after="100" w:afterAutospacing="1"/>
              <w:jc w:val="center"/>
              <w:rPr>
                <w:sz w:val="22"/>
                <w:szCs w:val="22"/>
              </w:rPr>
            </w:pPr>
          </w:p>
        </w:tc>
        <w:tc>
          <w:tcPr>
            <w:tcW w:w="5466" w:type="dxa"/>
          </w:tcPr>
          <w:p w:rsidR="0096765C" w:rsidRPr="005057BD" w:rsidRDefault="0096765C" w:rsidP="0096765C">
            <w:pPr>
              <w:pStyle w:val="a7"/>
              <w:spacing w:after="0" w:line="240" w:lineRule="auto"/>
              <w:ind w:left="0" w:firstLine="567"/>
              <w:jc w:val="both"/>
              <w:rPr>
                <w:rFonts w:ascii="Times New Roman" w:hAnsi="Times New Roman"/>
              </w:rPr>
            </w:pPr>
            <w:r w:rsidRPr="005057BD">
              <w:rPr>
                <w:rFonts w:ascii="Times New Roman" w:hAnsi="Times New Roman"/>
              </w:rPr>
              <w:t xml:space="preserve">Также, мы настаиваем на наших замечаниях и предложениях, направленных Вам в декабре 2015 года, но не учтенных, согласно содержанию нижеуказанных нормативных правовых актов, в отношении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утверждённый приказом Министерства строительства и развития инфраструктуры Свердловской области от 11.01.2016 № 3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строительство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w:t>
            </w:r>
            <w:r w:rsidRPr="005057BD">
              <w:rPr>
                <w:rFonts w:ascii="Times New Roman" w:hAnsi="Times New Roman"/>
              </w:rPr>
              <w:lastRenderedPageBreak/>
              <w:t>границами земельных участков, предназначенных для комплексного освоения территории)» и Административный регламент Министерства строительства и развития инфраструктуры Свердловской области предоставления государственной услуги по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  утверждённый приказом Министерства строительства и развития инфраструктуры Свердловской области от 11.01.2016 № 4 «Об утверждении Административного регламента Министерства строительства и развития инфраструктуры Свердловской области  предоставления государственной услуги по выдаче разрешения на ввод в эксплуатацию объектов капитального строительства, расположенных на территории муниципального образования «город Екатеринбург» (за исключением  объектов индивидуального жилищного строительства, расположенных за границами земельных участков, предназначенных для комплексного освоения территории».</w:t>
            </w:r>
          </w:p>
          <w:p w:rsidR="0096765C" w:rsidRPr="005057BD" w:rsidRDefault="0096765C" w:rsidP="0096765C">
            <w:pPr>
              <w:ind w:firstLine="567"/>
              <w:jc w:val="both"/>
              <w:rPr>
                <w:sz w:val="22"/>
                <w:szCs w:val="22"/>
              </w:rPr>
            </w:pPr>
          </w:p>
        </w:tc>
        <w:tc>
          <w:tcPr>
            <w:tcW w:w="5604" w:type="dxa"/>
          </w:tcPr>
          <w:p w:rsidR="001012B6" w:rsidRDefault="001012B6" w:rsidP="00B263AB">
            <w:pPr>
              <w:jc w:val="both"/>
              <w:rPr>
                <w:sz w:val="22"/>
                <w:szCs w:val="22"/>
              </w:rPr>
            </w:pPr>
            <w:r w:rsidRPr="005057BD">
              <w:rPr>
                <w:sz w:val="22"/>
                <w:szCs w:val="22"/>
              </w:rPr>
              <w:lastRenderedPageBreak/>
              <w:t>Предложение не учтено.</w:t>
            </w:r>
          </w:p>
          <w:p w:rsidR="0096765C" w:rsidRPr="005057BD" w:rsidRDefault="00B263AB" w:rsidP="00B263AB">
            <w:pPr>
              <w:jc w:val="both"/>
              <w:rPr>
                <w:sz w:val="22"/>
                <w:szCs w:val="22"/>
              </w:rPr>
            </w:pPr>
            <w:r w:rsidRPr="005057BD">
              <w:rPr>
                <w:sz w:val="22"/>
                <w:szCs w:val="22"/>
              </w:rPr>
              <w:t xml:space="preserve">Замечания и предложения, направленные в декабре 2015 года, рассмотрены на согласительном совещании, результаты которого сформулированы в протоколе согласительного совещания. </w:t>
            </w:r>
          </w:p>
        </w:tc>
      </w:tr>
    </w:tbl>
    <w:p w:rsidR="009A05FA" w:rsidRPr="005057BD" w:rsidRDefault="009A05FA" w:rsidP="009A05FA">
      <w:pPr>
        <w:rPr>
          <w:sz w:val="22"/>
          <w:szCs w:val="22"/>
        </w:rPr>
      </w:pPr>
    </w:p>
    <w:p w:rsidR="00390533" w:rsidRPr="005057BD" w:rsidRDefault="00390533" w:rsidP="00390533">
      <w:pPr>
        <w:jc w:val="both"/>
        <w:rPr>
          <w:sz w:val="22"/>
          <w:szCs w:val="22"/>
        </w:rPr>
      </w:pPr>
      <w:r w:rsidRPr="005057BD">
        <w:rPr>
          <w:sz w:val="22"/>
          <w:szCs w:val="22"/>
        </w:rPr>
        <w:t xml:space="preserve">Общее число участников публичных консультаций: </w:t>
      </w:r>
      <w:r w:rsidR="00A87494">
        <w:rPr>
          <w:sz w:val="22"/>
          <w:szCs w:val="22"/>
        </w:rPr>
        <w:t>2</w:t>
      </w:r>
      <w:r w:rsidRPr="005057BD">
        <w:rPr>
          <w:sz w:val="22"/>
          <w:szCs w:val="22"/>
        </w:rPr>
        <w:t xml:space="preserve">; </w:t>
      </w:r>
    </w:p>
    <w:p w:rsidR="00390533" w:rsidRPr="005057BD" w:rsidRDefault="00390533" w:rsidP="00390533">
      <w:pPr>
        <w:jc w:val="both"/>
        <w:rPr>
          <w:sz w:val="22"/>
          <w:szCs w:val="22"/>
        </w:rPr>
      </w:pPr>
      <w:r w:rsidRPr="005057BD">
        <w:rPr>
          <w:sz w:val="22"/>
          <w:szCs w:val="22"/>
        </w:rPr>
        <w:t>Общее число полученных мнений о поддержке принятия проекта акта:</w:t>
      </w:r>
      <w:r w:rsidR="00903396" w:rsidRPr="005057BD">
        <w:rPr>
          <w:sz w:val="22"/>
          <w:szCs w:val="22"/>
        </w:rPr>
        <w:t xml:space="preserve"> </w:t>
      </w:r>
      <w:r w:rsidR="00F342B2" w:rsidRPr="005057BD">
        <w:rPr>
          <w:sz w:val="22"/>
          <w:szCs w:val="22"/>
        </w:rPr>
        <w:t>1</w:t>
      </w:r>
      <w:r w:rsidRPr="005057BD">
        <w:rPr>
          <w:sz w:val="22"/>
          <w:szCs w:val="22"/>
        </w:rPr>
        <w:t>;</w:t>
      </w:r>
    </w:p>
    <w:p w:rsidR="00390533" w:rsidRPr="005057BD" w:rsidRDefault="00390533" w:rsidP="00390533">
      <w:pPr>
        <w:jc w:val="both"/>
        <w:rPr>
          <w:sz w:val="22"/>
          <w:szCs w:val="22"/>
        </w:rPr>
      </w:pPr>
      <w:r w:rsidRPr="005057BD">
        <w:rPr>
          <w:sz w:val="22"/>
          <w:szCs w:val="22"/>
        </w:rPr>
        <w:t xml:space="preserve">Общее число полученных предложений по доработке проекта акта: </w:t>
      </w:r>
      <w:r w:rsidR="00B263AB" w:rsidRPr="005057BD">
        <w:rPr>
          <w:sz w:val="22"/>
          <w:szCs w:val="22"/>
        </w:rPr>
        <w:t>1</w:t>
      </w:r>
      <w:r w:rsidR="001012B6">
        <w:rPr>
          <w:sz w:val="22"/>
          <w:szCs w:val="22"/>
        </w:rPr>
        <w:t>4</w:t>
      </w:r>
      <w:r w:rsidR="00F342B2" w:rsidRPr="005057BD">
        <w:rPr>
          <w:sz w:val="22"/>
          <w:szCs w:val="22"/>
        </w:rPr>
        <w:t>;</w:t>
      </w:r>
    </w:p>
    <w:p w:rsidR="00390533" w:rsidRPr="005057BD" w:rsidRDefault="00390533" w:rsidP="00390533">
      <w:pPr>
        <w:jc w:val="both"/>
        <w:rPr>
          <w:sz w:val="22"/>
          <w:szCs w:val="22"/>
        </w:rPr>
      </w:pPr>
      <w:r w:rsidRPr="005057BD">
        <w:rPr>
          <w:sz w:val="22"/>
          <w:szCs w:val="22"/>
        </w:rPr>
        <w:t>Общее число учтенных предложений:</w:t>
      </w:r>
      <w:r w:rsidR="004F07D8" w:rsidRPr="005057BD">
        <w:rPr>
          <w:sz w:val="22"/>
          <w:szCs w:val="22"/>
        </w:rPr>
        <w:t xml:space="preserve"> </w:t>
      </w:r>
      <w:r w:rsidR="00A33E79">
        <w:rPr>
          <w:sz w:val="22"/>
          <w:szCs w:val="22"/>
        </w:rPr>
        <w:t>3</w:t>
      </w:r>
      <w:r w:rsidRPr="005057BD">
        <w:rPr>
          <w:sz w:val="22"/>
          <w:szCs w:val="22"/>
        </w:rPr>
        <w:t>;</w:t>
      </w:r>
    </w:p>
    <w:p w:rsidR="00390533" w:rsidRPr="005057BD" w:rsidRDefault="00390533" w:rsidP="00390533">
      <w:pPr>
        <w:jc w:val="both"/>
        <w:rPr>
          <w:sz w:val="22"/>
          <w:szCs w:val="22"/>
        </w:rPr>
      </w:pPr>
      <w:r w:rsidRPr="005057BD">
        <w:rPr>
          <w:sz w:val="22"/>
          <w:szCs w:val="22"/>
        </w:rPr>
        <w:t>Общее число учтенных частично предложений:</w:t>
      </w:r>
      <w:r w:rsidR="00F342B2" w:rsidRPr="005057BD">
        <w:rPr>
          <w:sz w:val="22"/>
          <w:szCs w:val="22"/>
        </w:rPr>
        <w:t>0</w:t>
      </w:r>
      <w:r w:rsidRPr="005057BD">
        <w:rPr>
          <w:sz w:val="22"/>
          <w:szCs w:val="22"/>
        </w:rPr>
        <w:t>;</w:t>
      </w:r>
    </w:p>
    <w:p w:rsidR="00390533" w:rsidRPr="005057BD" w:rsidRDefault="00390533" w:rsidP="00390533">
      <w:pPr>
        <w:rPr>
          <w:sz w:val="22"/>
          <w:szCs w:val="22"/>
        </w:rPr>
      </w:pPr>
      <w:r w:rsidRPr="005057BD">
        <w:rPr>
          <w:sz w:val="22"/>
          <w:szCs w:val="22"/>
        </w:rPr>
        <w:t xml:space="preserve">Общее число </w:t>
      </w:r>
      <w:proofErr w:type="spellStart"/>
      <w:r w:rsidRPr="005057BD">
        <w:rPr>
          <w:sz w:val="22"/>
          <w:szCs w:val="22"/>
        </w:rPr>
        <w:t>отклоненных</w:t>
      </w:r>
      <w:proofErr w:type="spellEnd"/>
      <w:r w:rsidRPr="005057BD">
        <w:rPr>
          <w:sz w:val="22"/>
          <w:szCs w:val="22"/>
        </w:rPr>
        <w:t xml:space="preserve"> </w:t>
      </w:r>
      <w:proofErr w:type="spellStart"/>
      <w:r w:rsidRPr="005057BD">
        <w:rPr>
          <w:sz w:val="22"/>
          <w:szCs w:val="22"/>
        </w:rPr>
        <w:t>предложений:</w:t>
      </w:r>
      <w:r w:rsidR="00B263AB" w:rsidRPr="005057BD">
        <w:rPr>
          <w:sz w:val="22"/>
          <w:szCs w:val="22"/>
        </w:rPr>
        <w:t>1</w:t>
      </w:r>
      <w:r w:rsidR="001012B6">
        <w:rPr>
          <w:sz w:val="22"/>
          <w:szCs w:val="22"/>
        </w:rPr>
        <w:t>1</w:t>
      </w:r>
      <w:proofErr w:type="spellEnd"/>
      <w:r w:rsidRPr="005057BD">
        <w:rPr>
          <w:sz w:val="22"/>
          <w:szCs w:val="22"/>
        </w:rPr>
        <w:t>.</w:t>
      </w:r>
    </w:p>
    <w:p w:rsidR="00F2275F" w:rsidRPr="005057BD" w:rsidRDefault="00F2275F" w:rsidP="00F2275F">
      <w:pPr>
        <w:jc w:val="both"/>
        <w:rPr>
          <w:strike/>
          <w:sz w:val="22"/>
          <w:szCs w:val="22"/>
        </w:rPr>
      </w:pPr>
      <w:bookmarkStart w:id="0" w:name="_GoBack"/>
      <w:bookmarkEnd w:id="0"/>
    </w:p>
    <w:p w:rsidR="00C654B4" w:rsidRPr="005057BD" w:rsidRDefault="00C654B4" w:rsidP="00C654B4">
      <w:pPr>
        <w:jc w:val="both"/>
        <w:rPr>
          <w:sz w:val="22"/>
          <w:szCs w:val="22"/>
        </w:rPr>
      </w:pPr>
    </w:p>
    <w:sectPr w:rsidR="00C654B4" w:rsidRPr="005057BD" w:rsidSect="003244C4">
      <w:pgSz w:w="16838" w:h="11906" w:orient="landscape"/>
      <w:pgMar w:top="1418"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12F63"/>
    <w:multiLevelType w:val="hybridMultilevel"/>
    <w:tmpl w:val="186E9A3A"/>
    <w:lvl w:ilvl="0" w:tplc="BC8A9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D3C2181"/>
    <w:multiLevelType w:val="multilevel"/>
    <w:tmpl w:val="83A6E1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6E"/>
    <w:rsid w:val="0001283F"/>
    <w:rsid w:val="000251CA"/>
    <w:rsid w:val="000C27C3"/>
    <w:rsid w:val="000E4B1C"/>
    <w:rsid w:val="000F4A74"/>
    <w:rsid w:val="001012B6"/>
    <w:rsid w:val="00134601"/>
    <w:rsid w:val="001356E8"/>
    <w:rsid w:val="00146BEE"/>
    <w:rsid w:val="00187BC0"/>
    <w:rsid w:val="001940C2"/>
    <w:rsid w:val="001F7E1C"/>
    <w:rsid w:val="00222120"/>
    <w:rsid w:val="002374E6"/>
    <w:rsid w:val="002673A9"/>
    <w:rsid w:val="00281BAE"/>
    <w:rsid w:val="002845D7"/>
    <w:rsid w:val="00314453"/>
    <w:rsid w:val="0032095B"/>
    <w:rsid w:val="003244C4"/>
    <w:rsid w:val="0032504A"/>
    <w:rsid w:val="00387E6E"/>
    <w:rsid w:val="00390533"/>
    <w:rsid w:val="003C15D4"/>
    <w:rsid w:val="004522EC"/>
    <w:rsid w:val="0045737A"/>
    <w:rsid w:val="00461B28"/>
    <w:rsid w:val="00473B14"/>
    <w:rsid w:val="00482858"/>
    <w:rsid w:val="00492593"/>
    <w:rsid w:val="004C1233"/>
    <w:rsid w:val="004E3240"/>
    <w:rsid w:val="004F07D8"/>
    <w:rsid w:val="005057BD"/>
    <w:rsid w:val="005A2AA0"/>
    <w:rsid w:val="005B0F04"/>
    <w:rsid w:val="005D0310"/>
    <w:rsid w:val="005F3170"/>
    <w:rsid w:val="0064658E"/>
    <w:rsid w:val="007544EA"/>
    <w:rsid w:val="00777CD5"/>
    <w:rsid w:val="007B609F"/>
    <w:rsid w:val="007C18DE"/>
    <w:rsid w:val="00801AF3"/>
    <w:rsid w:val="00855878"/>
    <w:rsid w:val="008E0062"/>
    <w:rsid w:val="00903396"/>
    <w:rsid w:val="0091282F"/>
    <w:rsid w:val="0096765C"/>
    <w:rsid w:val="009A05FA"/>
    <w:rsid w:val="009C7674"/>
    <w:rsid w:val="009E0D0D"/>
    <w:rsid w:val="00A32263"/>
    <w:rsid w:val="00A33E79"/>
    <w:rsid w:val="00A351C2"/>
    <w:rsid w:val="00A355C5"/>
    <w:rsid w:val="00A42839"/>
    <w:rsid w:val="00A55F99"/>
    <w:rsid w:val="00A67423"/>
    <w:rsid w:val="00A815E2"/>
    <w:rsid w:val="00A87494"/>
    <w:rsid w:val="00A93CF3"/>
    <w:rsid w:val="00A95ED6"/>
    <w:rsid w:val="00A97832"/>
    <w:rsid w:val="00AB318D"/>
    <w:rsid w:val="00AC5EA0"/>
    <w:rsid w:val="00B263AB"/>
    <w:rsid w:val="00B3573E"/>
    <w:rsid w:val="00B63514"/>
    <w:rsid w:val="00BB3847"/>
    <w:rsid w:val="00BF4783"/>
    <w:rsid w:val="00C157D8"/>
    <w:rsid w:val="00C3788A"/>
    <w:rsid w:val="00C63D78"/>
    <w:rsid w:val="00C654B4"/>
    <w:rsid w:val="00C80416"/>
    <w:rsid w:val="00CE751D"/>
    <w:rsid w:val="00D0233C"/>
    <w:rsid w:val="00D041DD"/>
    <w:rsid w:val="00D476A1"/>
    <w:rsid w:val="00D6232A"/>
    <w:rsid w:val="00D7515F"/>
    <w:rsid w:val="00DA3126"/>
    <w:rsid w:val="00DC6D09"/>
    <w:rsid w:val="00DE7A46"/>
    <w:rsid w:val="00EA2E86"/>
    <w:rsid w:val="00EB43DD"/>
    <w:rsid w:val="00F04CE0"/>
    <w:rsid w:val="00F2275F"/>
    <w:rsid w:val="00F3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14C1F-8BC4-4858-9899-86F8049A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75F"/>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654B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 светлая1"/>
    <w:basedOn w:val="a1"/>
    <w:uiPriority w:val="40"/>
    <w:rsid w:val="00F227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Title"/>
    <w:basedOn w:val="1"/>
    <w:next w:val="a"/>
    <w:link w:val="a4"/>
    <w:qFormat/>
    <w:rsid w:val="00C654B4"/>
    <w:pPr>
      <w:keepLines w:val="0"/>
      <w:overflowPunct/>
      <w:autoSpaceDE/>
      <w:autoSpaceDN/>
      <w:adjustRightInd/>
      <w:spacing w:before="0"/>
      <w:ind w:left="884" w:hanging="851"/>
      <w:jc w:val="both"/>
    </w:pPr>
    <w:rPr>
      <w:rFonts w:ascii="Times New Roman" w:eastAsia="Times New Roman" w:hAnsi="Times New Roman" w:cs="Times New Roman"/>
      <w:bCs/>
      <w:color w:val="auto"/>
      <w:kern w:val="32"/>
      <w:sz w:val="28"/>
      <w:szCs w:val="28"/>
    </w:rPr>
  </w:style>
  <w:style w:type="character" w:customStyle="1" w:styleId="a4">
    <w:name w:val="Название Знак"/>
    <w:basedOn w:val="a0"/>
    <w:link w:val="a3"/>
    <w:rsid w:val="00C654B4"/>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C654B4"/>
    <w:rPr>
      <w:rFonts w:asciiTheme="majorHAnsi" w:eastAsiaTheme="majorEastAsia" w:hAnsiTheme="majorHAnsi" w:cstheme="majorBidi"/>
      <w:color w:val="2E74B5" w:themeColor="accent1" w:themeShade="BF"/>
      <w:sz w:val="32"/>
      <w:szCs w:val="32"/>
      <w:lang w:eastAsia="ru-RU"/>
    </w:rPr>
  </w:style>
  <w:style w:type="paragraph" w:styleId="a5">
    <w:name w:val="Normal (Web)"/>
    <w:basedOn w:val="a"/>
    <w:uiPriority w:val="99"/>
    <w:unhideWhenUsed/>
    <w:rsid w:val="00B3573E"/>
    <w:pPr>
      <w:overflowPunct/>
      <w:autoSpaceDE/>
      <w:autoSpaceDN/>
      <w:adjustRightInd/>
      <w:spacing w:before="100" w:beforeAutospacing="1" w:after="100" w:afterAutospacing="1"/>
    </w:pPr>
    <w:rPr>
      <w:sz w:val="24"/>
      <w:szCs w:val="24"/>
    </w:rPr>
  </w:style>
  <w:style w:type="table" w:styleId="a6">
    <w:name w:val="Table Grid"/>
    <w:basedOn w:val="a1"/>
    <w:uiPriority w:val="59"/>
    <w:rsid w:val="009A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15D4"/>
    <w:pPr>
      <w:autoSpaceDE w:val="0"/>
      <w:autoSpaceDN w:val="0"/>
      <w:adjustRightInd w:val="0"/>
      <w:spacing w:after="0" w:line="240" w:lineRule="auto"/>
    </w:pPr>
    <w:rPr>
      <w:rFonts w:ascii="Arial" w:hAnsi="Arial" w:cs="Arial"/>
      <w:sz w:val="20"/>
      <w:szCs w:val="20"/>
    </w:rPr>
  </w:style>
  <w:style w:type="paragraph" w:styleId="a7">
    <w:name w:val="List Paragraph"/>
    <w:basedOn w:val="a"/>
    <w:uiPriority w:val="34"/>
    <w:qFormat/>
    <w:rsid w:val="005B0F04"/>
    <w:pPr>
      <w:overflowPunct/>
      <w:autoSpaceDE/>
      <w:autoSpaceDN/>
      <w:adjustRightInd/>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F6F7B358A8F635E6AE5249ADA0F22F2BC6064523F9982A9873EFB752A71C2EAA592BdFjDD" TargetMode="External"/><Relationship Id="rId3" Type="http://schemas.openxmlformats.org/officeDocument/2006/relationships/styles" Target="styles.xml"/><Relationship Id="rId7" Type="http://schemas.openxmlformats.org/officeDocument/2006/relationships/hyperlink" Target="consultantplus://offline/ref=44F0FAD32CB18C8545B2F75BD999CB6BE1843C3AAEF25BA163C701955DBD42AC8B28EDA54B15481DlDh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F07F5A99B73B752A7E8CF7079E4F17A0E662914F6B00236529B2E23D5603BB0D2AD825E583CF574i7g4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F1D42-21C0-42C1-831D-15F29933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9</Pages>
  <Words>2792</Words>
  <Characters>15916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Урецкая Олеся Марковна</dc:creator>
  <cp:lastModifiedBy>Урецкая Олеся Марковна</cp:lastModifiedBy>
  <cp:revision>9</cp:revision>
  <dcterms:created xsi:type="dcterms:W3CDTF">2016-08-08T05:16:00Z</dcterms:created>
  <dcterms:modified xsi:type="dcterms:W3CDTF">2016-09-22T12:24:00Z</dcterms:modified>
</cp:coreProperties>
</file>