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29.12.2017 N 1033-ПП</w:t>
              <w:br/>
              <w:t xml:space="preserve">(ред. от 15.12.2022)</w:t>
              <w:br/>
              <w:t xml:space="preserve">"Об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2017 г. N 1033-ПП</w:t>
      </w:r>
    </w:p>
    <w:p>
      <w:pPr>
        <w:pStyle w:val="2"/>
        <w:jc w:val="center"/>
      </w:pPr>
      <w:r>
        <w:rPr>
          <w:sz w:val="20"/>
        </w:rPr>
      </w:r>
    </w:p>
    <w:p>
      <w:pPr>
        <w:pStyle w:val="2"/>
        <w:jc w:val="center"/>
      </w:pPr>
      <w:r>
        <w:rPr>
          <w:sz w:val="20"/>
        </w:rPr>
        <w:t xml:space="preserve">ОБ УТВЕРЖДЕНИИ ПОРЯДКА (МЕТОДИКИ) И ПЕРЕЧНЯ</w:t>
      </w:r>
    </w:p>
    <w:p>
      <w:pPr>
        <w:pStyle w:val="2"/>
        <w:jc w:val="center"/>
      </w:pPr>
      <w:r>
        <w:rPr>
          <w:sz w:val="20"/>
        </w:rPr>
        <w:t xml:space="preserve">ПОКАЗАТЕЛЕЙ ОЦЕНКИ РЕЗУЛЬТАТИВНОСТИ И ЭФФЕКТИВНОСТИ</w:t>
      </w:r>
    </w:p>
    <w:p>
      <w:pPr>
        <w:pStyle w:val="2"/>
        <w:jc w:val="center"/>
      </w:pPr>
      <w:r>
        <w:rPr>
          <w:sz w:val="20"/>
        </w:rPr>
        <w:t xml:space="preserve">КОНТРОЛЬНО-НАДЗОРНОЙ ДЕЯТЕЛЬНОСТИ В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17.10.2018 </w:t>
            </w:r>
            <w:hyperlink w:history="0" r:id="rId7" w:tooltip="Постановление Правительства Свердловской области от 17.10.2018 N 684-ПП &quot;О внесении изменений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рдловской области от 29.12.2017 N 1033-ПП&quot; {КонсультантПлюс}">
              <w:r>
                <w:rPr>
                  <w:sz w:val="20"/>
                  <w:color w:val="0000ff"/>
                </w:rPr>
                <w:t xml:space="preserve">N 684-ПП</w:t>
              </w:r>
            </w:hyperlink>
            <w:r>
              <w:rPr>
                <w:sz w:val="20"/>
                <w:color w:val="392c69"/>
              </w:rPr>
              <w:t xml:space="preserve">, от 06.12.2018 </w:t>
            </w:r>
            <w:hyperlink w:history="0" r:id="rId8" w:tooltip="Постановление Правительства Свердловской области от 06.12.2018 N 881-ПП (ред. от 16.07.2019) &quot;О региональном государственном контроле (надзоре) в области регулируемых государством цен (тарифов)&quot; (вместе с &quot;Порядком организации и осуществления регионального государственного контроля (надзора) в области регулируемых государством цен (тарифов)&quot;) ------------ Утратил силу или отменен {КонсультантПлюс}">
              <w:r>
                <w:rPr>
                  <w:sz w:val="20"/>
                  <w:color w:val="0000ff"/>
                </w:rPr>
                <w:t xml:space="preserve">N 881-ПП</w:t>
              </w:r>
            </w:hyperlink>
            <w:r>
              <w:rPr>
                <w:sz w:val="20"/>
                <w:color w:val="392c69"/>
              </w:rPr>
              <w:t xml:space="preserve">, от 05.02.2019 </w:t>
            </w:r>
            <w:hyperlink w:history="0" r:id="rId9"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69-ПП</w:t>
              </w:r>
            </w:hyperlink>
            <w:r>
              <w:rPr>
                <w:sz w:val="20"/>
                <w:color w:val="392c69"/>
              </w:rPr>
              <w:t xml:space="preserve">,</w:t>
            </w:r>
          </w:p>
          <w:p>
            <w:pPr>
              <w:pStyle w:val="0"/>
              <w:jc w:val="center"/>
            </w:pPr>
            <w:r>
              <w:rPr>
                <w:sz w:val="20"/>
                <w:color w:val="392c69"/>
              </w:rPr>
              <w:t xml:space="preserve">от 23.01.2020 </w:t>
            </w:r>
            <w:hyperlink w:history="0" r:id="rId10"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26-ПП</w:t>
              </w:r>
            </w:hyperlink>
            <w:r>
              <w:rPr>
                <w:sz w:val="20"/>
                <w:color w:val="392c69"/>
              </w:rPr>
              <w:t xml:space="preserve">, от 21.05.2020 </w:t>
            </w:r>
            <w:hyperlink w:history="0" r:id="rId11"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322-ПП</w:t>
              </w:r>
            </w:hyperlink>
            <w:r>
              <w:rPr>
                <w:sz w:val="20"/>
                <w:color w:val="392c69"/>
              </w:rPr>
              <w:t xml:space="preserve">, от 29.04.2021 </w:t>
            </w:r>
            <w:hyperlink w:history="0" r:id="rId12"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257-ПП</w:t>
              </w:r>
            </w:hyperlink>
            <w:r>
              <w:rPr>
                <w:sz w:val="20"/>
                <w:color w:val="392c69"/>
              </w:rPr>
              <w:t xml:space="preserve">,</w:t>
            </w:r>
          </w:p>
          <w:p>
            <w:pPr>
              <w:pStyle w:val="0"/>
              <w:jc w:val="center"/>
            </w:pPr>
            <w:r>
              <w:rPr>
                <w:sz w:val="20"/>
                <w:color w:val="392c69"/>
              </w:rPr>
              <w:t xml:space="preserve">от 29.12.2021 </w:t>
            </w:r>
            <w:hyperlink w:history="0" r:id="rId13"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994-ПП</w:t>
              </w:r>
            </w:hyperlink>
            <w:r>
              <w:rPr>
                <w:sz w:val="20"/>
                <w:color w:val="392c69"/>
              </w:rPr>
              <w:t xml:space="preserve">, от 15.12.2022 </w:t>
            </w:r>
            <w:hyperlink w:history="0" r:id="rId14"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рдловской области от 29.12.2017 N 1033-ПП&quot; {КонсультантПлюс}">
              <w:r>
                <w:rPr>
                  <w:sz w:val="20"/>
                  <w:color w:val="0000ff"/>
                </w:rPr>
                <w:t xml:space="preserve">N 865-ПП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history="0" r:id="rId16"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Pr>
            <w:sz w:val="20"/>
            <w:color w:val="0000ff"/>
          </w:rPr>
          <w:t xml:space="preserve">Распоряжением</w:t>
        </w:r>
      </w:hyperlink>
      <w:r>
        <w:rPr>
          <w:sz w:val="20"/>
        </w:rPr>
        <w:t xml:space="preserve"> Правительства Российской Федерации от 17.05.2016 N 934-р, в целях реализации </w:t>
      </w:r>
      <w:hyperlink w:history="0" r:id="rId17"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пункта 4.1</w:t>
        </w:r>
      </w:hyperlink>
      <w:r>
        <w:rPr>
          <w:sz w:val="20"/>
        </w:rPr>
        <w:t xml:space="preserve"> целевой модели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N 147-р, Правительство Свердловской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1" w:tooltip="ПОРЯДОК (МЕТОДИКА)">
        <w:r>
          <w:rPr>
            <w:sz w:val="20"/>
            <w:color w:val="0000ff"/>
          </w:rPr>
          <w:t xml:space="preserve">Порядок (методику)</w:t>
        </w:r>
      </w:hyperlink>
      <w:r>
        <w:rPr>
          <w:sz w:val="20"/>
        </w:rPr>
        <w:t xml:space="preserve"> оценки результативности и эффективности контрольно-надзорной деятельности в Свердловской области (далее - порядок) (прилагается);</w:t>
      </w:r>
    </w:p>
    <w:p>
      <w:pPr>
        <w:pStyle w:val="0"/>
        <w:spacing w:before="200" w:line-rule="auto"/>
        <w:ind w:firstLine="540"/>
        <w:jc w:val="both"/>
      </w:pPr>
      <w:r>
        <w:rPr>
          <w:sz w:val="20"/>
        </w:rPr>
        <w:t xml:space="preserve">2) </w:t>
      </w:r>
      <w:hyperlink w:history="0" w:anchor="P274" w:tooltip="ПЕРЕЧЕНЬ">
        <w:r>
          <w:rPr>
            <w:sz w:val="20"/>
            <w:color w:val="0000ff"/>
          </w:rPr>
          <w:t xml:space="preserve">перечень</w:t>
        </w:r>
      </w:hyperlink>
      <w:r>
        <w:rPr>
          <w:sz w:val="20"/>
        </w:rPr>
        <w:t xml:space="preserve"> показателей оценки результативности и эффективности контрольно-надзорной деятельности в Свердловской области (прилагается).</w:t>
      </w:r>
    </w:p>
    <w:p>
      <w:pPr>
        <w:pStyle w:val="0"/>
        <w:spacing w:before="200" w:line-rule="auto"/>
        <w:ind w:firstLine="540"/>
        <w:jc w:val="both"/>
      </w:pPr>
      <w:r>
        <w:rPr>
          <w:sz w:val="20"/>
        </w:rPr>
        <w:t xml:space="preserve">2. Исполнительным органам государственной власти Свердловской области, реализующим контрольные (надзорные) функции, в соответствии с </w:t>
      </w:r>
      <w:hyperlink w:history="0" w:anchor="P41" w:tooltip="ПОРЯДОК (МЕТОДИКА)">
        <w:r>
          <w:rPr>
            <w:sz w:val="20"/>
            <w:color w:val="0000ff"/>
          </w:rPr>
          <w:t xml:space="preserve">Порядком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1) провести расчет базовых значений показателей результативности и эффективности контрольно-надзорной деятельности в Свердловской области по итогам 2017 года и организовать их обсуждение на общественном совете при исполнительном органе государственной власти Свердловской области в срок до 1 июня 2018 года;</w:t>
      </w:r>
    </w:p>
    <w:p>
      <w:pPr>
        <w:pStyle w:val="0"/>
        <w:spacing w:before="200" w:line-rule="auto"/>
        <w:ind w:firstLine="540"/>
        <w:jc w:val="both"/>
      </w:pPr>
      <w:r>
        <w:rPr>
          <w:sz w:val="20"/>
        </w:rPr>
        <w:t xml:space="preserve">2) утратил силу. - </w:t>
      </w:r>
      <w:hyperlink w:history="0" r:id="rId18"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05.02.2019 N 69-ПП;</w:t>
      </w:r>
    </w:p>
    <w:p>
      <w:pPr>
        <w:pStyle w:val="0"/>
        <w:spacing w:before="200" w:line-rule="auto"/>
        <w:ind w:firstLine="540"/>
        <w:jc w:val="both"/>
      </w:pPr>
      <w:r>
        <w:rPr>
          <w:sz w:val="20"/>
        </w:rPr>
        <w:t xml:space="preserve">3) осуществить необходимые мероприятия по подготовке отчетности по показателям результативности и эффективности контрольно-надзорной деятельности в Свердловской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Свердловской области А.В. Шмыкова.</w:t>
      </w:r>
    </w:p>
    <w:p>
      <w:pPr>
        <w:pStyle w:val="0"/>
        <w:jc w:val="both"/>
      </w:pPr>
      <w:r>
        <w:rPr>
          <w:sz w:val="20"/>
        </w:rPr>
        <w:t xml:space="preserve">(п. 3 в ред. </w:t>
      </w:r>
      <w:hyperlink w:history="0" r:id="rId19"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29.12.2021 N 994-ПП)</w:t>
      </w:r>
    </w:p>
    <w:p>
      <w:pPr>
        <w:pStyle w:val="0"/>
        <w:spacing w:before="200" w:line-rule="auto"/>
        <w:ind w:firstLine="540"/>
        <w:jc w:val="both"/>
      </w:pPr>
      <w:r>
        <w:rPr>
          <w:sz w:val="20"/>
        </w:rPr>
        <w:t xml:space="preserve">4. Настоящее Постановление вступает в силу на следующий день после его официального опубликования.</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29 декабря 2017 г. N 1033-ПП</w:t>
      </w:r>
    </w:p>
    <w:p>
      <w:pPr>
        <w:pStyle w:val="0"/>
      </w:pPr>
      <w:r>
        <w:rPr>
          <w:sz w:val="20"/>
        </w:rPr>
      </w:r>
    </w:p>
    <w:bookmarkStart w:id="41" w:name="P41"/>
    <w:bookmarkEnd w:id="41"/>
    <w:p>
      <w:pPr>
        <w:pStyle w:val="2"/>
        <w:jc w:val="center"/>
      </w:pPr>
      <w:r>
        <w:rPr>
          <w:sz w:val="20"/>
        </w:rPr>
        <w:t xml:space="preserve">ПОРЯДОК (МЕТОДИКА)</w:t>
      </w:r>
    </w:p>
    <w:p>
      <w:pPr>
        <w:pStyle w:val="2"/>
        <w:jc w:val="center"/>
      </w:pPr>
      <w:r>
        <w:rPr>
          <w:sz w:val="20"/>
        </w:rPr>
        <w:t xml:space="preserve">ОЦЕНКИ РЕЗУЛЬТАТИВНОСТИ И ЭФФЕКТИВНОСТИ</w:t>
      </w:r>
    </w:p>
    <w:p>
      <w:pPr>
        <w:pStyle w:val="2"/>
        <w:jc w:val="center"/>
      </w:pPr>
      <w:r>
        <w:rPr>
          <w:sz w:val="20"/>
        </w:rPr>
        <w:t xml:space="preserve">КОНТРОЛЬНО-НАДЗОРНОЙ ДЕЯТЕЛЬНОСТИ В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05.02.2019 </w:t>
            </w:r>
            <w:hyperlink w:history="0" r:id="rId20"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69-ПП</w:t>
              </w:r>
            </w:hyperlink>
            <w:r>
              <w:rPr>
                <w:sz w:val="20"/>
                <w:color w:val="392c69"/>
              </w:rPr>
              <w:t xml:space="preserve">, от 23.01.2020 </w:t>
            </w:r>
            <w:hyperlink w:history="0" r:id="rId21"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26-ПП</w:t>
              </w:r>
            </w:hyperlink>
            <w:r>
              <w:rPr>
                <w:sz w:val="20"/>
                <w:color w:val="392c69"/>
              </w:rPr>
              <w:t xml:space="preserve">, от 21.05.2020 </w:t>
            </w:r>
            <w:hyperlink w:history="0" r:id="rId22"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322-ПП</w:t>
              </w:r>
            </w:hyperlink>
            <w:r>
              <w:rPr>
                <w:sz w:val="20"/>
                <w:color w:val="392c69"/>
              </w:rPr>
              <w:t xml:space="preserve">,</w:t>
            </w:r>
          </w:p>
          <w:p>
            <w:pPr>
              <w:pStyle w:val="0"/>
              <w:jc w:val="center"/>
            </w:pPr>
            <w:r>
              <w:rPr>
                <w:sz w:val="20"/>
                <w:color w:val="392c69"/>
              </w:rPr>
              <w:t xml:space="preserve">от 29.04.2021 </w:t>
            </w:r>
            <w:hyperlink w:history="0" r:id="rId23"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257-ПП</w:t>
              </w:r>
            </w:hyperlink>
            <w:r>
              <w:rPr>
                <w:sz w:val="20"/>
                <w:color w:val="392c69"/>
              </w:rPr>
              <w:t xml:space="preserve">, от 29.12.2021 </w:t>
            </w:r>
            <w:hyperlink w:history="0" r:id="rId24"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994-ПП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Система оценки результативности и эффективности контрольно-надзорной деятельности в Свердловской области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Свердловской области и минимизацию неоправданного вмешательства контрольно-надзорных органов в деятельность подконтрольных субъектов.</w:t>
      </w:r>
    </w:p>
    <w:p>
      <w:pPr>
        <w:pStyle w:val="0"/>
        <w:spacing w:before="200" w:line-rule="auto"/>
        <w:ind w:firstLine="540"/>
        <w:jc w:val="both"/>
      </w:pPr>
      <w:r>
        <w:rPr>
          <w:sz w:val="20"/>
        </w:rPr>
        <w:t xml:space="preserve">2. Для целей разработки и внедрения системы оценки используются следующие понятия:</w:t>
      </w:r>
    </w:p>
    <w:p>
      <w:pPr>
        <w:pStyle w:val="0"/>
        <w:spacing w:before="200" w:line-rule="auto"/>
        <w:ind w:firstLine="540"/>
        <w:jc w:val="both"/>
      </w:pPr>
      <w:r>
        <w:rPr>
          <w:sz w:val="20"/>
        </w:rPr>
        <w:t xml:space="preserve">1) 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pPr>
        <w:pStyle w:val="0"/>
        <w:spacing w:before="200" w:line-rule="auto"/>
        <w:ind w:firstLine="540"/>
        <w:jc w:val="both"/>
      </w:pPr>
      <w:r>
        <w:rPr>
          <w:sz w:val="20"/>
        </w:rPr>
        <w:t xml:space="preserve">2) 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pPr>
        <w:pStyle w:val="0"/>
        <w:spacing w:before="200" w:line-rule="auto"/>
        <w:ind w:firstLine="540"/>
        <w:jc w:val="both"/>
      </w:pPr>
      <w:r>
        <w:rPr>
          <w:sz w:val="20"/>
        </w:rPr>
        <w:t xml:space="preserve">3) 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w:t>
      </w:r>
    </w:p>
    <w:p>
      <w:pPr>
        <w:pStyle w:val="0"/>
        <w:spacing w:before="200" w:line-rule="auto"/>
        <w:ind w:firstLine="540"/>
        <w:jc w:val="both"/>
      </w:pPr>
      <w:r>
        <w:rPr>
          <w:sz w:val="20"/>
        </w:rPr>
        <w:t xml:space="preserve">4) 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pPr>
        <w:pStyle w:val="0"/>
        <w:spacing w:before="200" w:line-rule="auto"/>
        <w:ind w:firstLine="540"/>
        <w:jc w:val="both"/>
      </w:pPr>
      <w:r>
        <w:rPr>
          <w:sz w:val="20"/>
        </w:rPr>
        <w:t xml:space="preserve">5) 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pPr>
        <w:pStyle w:val="0"/>
        <w:spacing w:before="200" w:line-rule="auto"/>
        <w:ind w:firstLine="540"/>
        <w:jc w:val="both"/>
      </w:pPr>
      <w:r>
        <w:rPr>
          <w:sz w:val="20"/>
        </w:rPr>
        <w:t xml:space="preserve">6) паспорт ключевого показателя - документ, разрабатываемый и утверждаемый органом, осуществляющим контрольно-надзорную деятельность, с целью формирования информации о работе с данными, включая описание подходов к сбору и хранению данных и методов расчета показателя, а также интерпретации значений показателя и иной информации, необходимой для управления ключевым показателем и совершенствования инструментов по работе с данными.</w:t>
      </w:r>
    </w:p>
    <w:p>
      <w:pPr>
        <w:pStyle w:val="0"/>
        <w:jc w:val="both"/>
      </w:pPr>
      <w:r>
        <w:rPr>
          <w:sz w:val="20"/>
        </w:rPr>
        <w:t xml:space="preserve">(подп. 6 введен </w:t>
      </w:r>
      <w:hyperlink w:history="0" r:id="rId25"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23.01.2020 N 26-ПП)</w:t>
      </w:r>
    </w:p>
    <w:p>
      <w:pPr>
        <w:pStyle w:val="0"/>
        <w:spacing w:before="200" w:line-rule="auto"/>
        <w:ind w:firstLine="540"/>
        <w:jc w:val="both"/>
      </w:pPr>
      <w:r>
        <w:rPr>
          <w:sz w:val="20"/>
        </w:rPr>
        <w:t xml:space="preserve">3. Основными задачами разработки и внедрения системы оценки являются:</w:t>
      </w:r>
    </w:p>
    <w:p>
      <w:pPr>
        <w:pStyle w:val="0"/>
        <w:spacing w:before="200" w:line-rule="auto"/>
        <w:ind w:firstLine="540"/>
        <w:jc w:val="both"/>
      </w:pPr>
      <w:r>
        <w:rPr>
          <w:sz w:val="20"/>
        </w:rPr>
        <w:t xml:space="preserve">1) 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pPr>
        <w:pStyle w:val="0"/>
        <w:spacing w:before="200" w:line-rule="auto"/>
        <w:ind w:firstLine="540"/>
        <w:jc w:val="both"/>
      </w:pPr>
      <w:r>
        <w:rPr>
          <w:sz w:val="20"/>
        </w:rPr>
        <w:t xml:space="preserve">2) 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pPr>
        <w:pStyle w:val="0"/>
        <w:spacing w:before="200" w:line-rule="auto"/>
        <w:ind w:firstLine="540"/>
        <w:jc w:val="both"/>
      </w:pPr>
      <w:r>
        <w:rPr>
          <w:sz w:val="20"/>
        </w:rPr>
        <w:t xml:space="preserve">3) 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pPr>
        <w:pStyle w:val="0"/>
        <w:spacing w:before="200" w:line-rule="auto"/>
        <w:ind w:firstLine="540"/>
        <w:jc w:val="both"/>
      </w:pPr>
      <w:r>
        <w:rPr>
          <w:sz w:val="20"/>
        </w:rPr>
        <w:t xml:space="preserve">4) 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pPr>
        <w:pStyle w:val="0"/>
        <w:spacing w:before="200" w:line-rule="auto"/>
        <w:ind w:firstLine="540"/>
        <w:jc w:val="both"/>
      </w:pPr>
      <w:r>
        <w:rPr>
          <w:sz w:val="20"/>
        </w:rPr>
        <w:t xml:space="preserve">5) внедрение механизма свободного доступа к информации о результатах контрольно-надзорной деятельности;</w:t>
      </w:r>
    </w:p>
    <w:p>
      <w:pPr>
        <w:pStyle w:val="0"/>
        <w:spacing w:before="200" w:line-rule="auto"/>
        <w:ind w:firstLine="540"/>
        <w:jc w:val="both"/>
      </w:pPr>
      <w:r>
        <w:rPr>
          <w:sz w:val="20"/>
        </w:rPr>
        <w:t xml:space="preserve">6) 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pPr>
        <w:pStyle w:val="0"/>
        <w:spacing w:before="200" w:line-rule="auto"/>
        <w:ind w:firstLine="540"/>
        <w:jc w:val="both"/>
      </w:pPr>
      <w:r>
        <w:rPr>
          <w:sz w:val="20"/>
        </w:rPr>
        <w:t xml:space="preserve">7) 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pPr>
        <w:pStyle w:val="0"/>
        <w:spacing w:before="200" w:line-rule="auto"/>
        <w:ind w:firstLine="540"/>
        <w:jc w:val="both"/>
      </w:pPr>
      <w:r>
        <w:rPr>
          <w:sz w:val="20"/>
        </w:rPr>
        <w:t xml:space="preserve">4. Показатели результативности и эффективности контрольно-надзорной деятельности определяются Правительством Свердловской области.</w:t>
      </w:r>
    </w:p>
    <w:p>
      <w:pPr>
        <w:pStyle w:val="0"/>
        <w:spacing w:before="200" w:line-rule="auto"/>
        <w:ind w:firstLine="540"/>
        <w:jc w:val="both"/>
      </w:pPr>
      <w:r>
        <w:rPr>
          <w:sz w:val="20"/>
        </w:rPr>
        <w:t xml:space="preserve">5. Система оценки состоит из следующих основных элементов:</w:t>
      </w:r>
    </w:p>
    <w:p>
      <w:pPr>
        <w:pStyle w:val="0"/>
        <w:spacing w:before="200" w:line-rule="auto"/>
        <w:ind w:firstLine="540"/>
        <w:jc w:val="both"/>
      </w:pPr>
      <w:r>
        <w:rPr>
          <w:sz w:val="20"/>
        </w:rPr>
        <w:t xml:space="preserve">1) базовая модель определения показателей результативности и эффективности контрольно-надзорной деятельности и показатели контрольно-надзорной деятельности, определенные на ее основе;</w:t>
      </w:r>
    </w:p>
    <w:p>
      <w:pPr>
        <w:pStyle w:val="0"/>
        <w:spacing w:before="200" w:line-rule="auto"/>
        <w:ind w:firstLine="540"/>
        <w:jc w:val="both"/>
      </w:pPr>
      <w:r>
        <w:rPr>
          <w:sz w:val="20"/>
        </w:rPr>
        <w:t xml:space="preserve">2) 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pPr>
      <w:r>
        <w:rPr>
          <w:sz w:val="20"/>
        </w:rPr>
      </w:r>
    </w:p>
    <w:p>
      <w:pPr>
        <w:pStyle w:val="2"/>
        <w:outlineLvl w:val="1"/>
        <w:jc w:val="center"/>
      </w:pPr>
      <w:r>
        <w:rPr>
          <w:sz w:val="20"/>
        </w:rPr>
        <w:t xml:space="preserve">Глава 2. БАЗОВАЯ МОДЕЛЬ ОПРЕДЕЛЕНИЯ ПОКАЗАТЕЛЕЙ</w:t>
      </w:r>
    </w:p>
    <w:p>
      <w:pPr>
        <w:pStyle w:val="2"/>
        <w:jc w:val="center"/>
      </w:pPr>
      <w:r>
        <w:rPr>
          <w:sz w:val="20"/>
        </w:rPr>
        <w:t xml:space="preserve">РЕЗУЛЬТАТИВНОСТИ И ЭФФЕКТИВНОСТИ КОНТРОЛЬНО-НАДЗОРНОЙ</w:t>
      </w:r>
    </w:p>
    <w:p>
      <w:pPr>
        <w:pStyle w:val="2"/>
        <w:jc w:val="center"/>
      </w:pPr>
      <w:r>
        <w:rPr>
          <w:sz w:val="20"/>
        </w:rPr>
        <w:t xml:space="preserve">ДЕЯТЕЛЬНОСТИ В СВЕРДЛОВСКОЙ ОБЛАСТИ</w:t>
      </w:r>
    </w:p>
    <w:p>
      <w:pPr>
        <w:pStyle w:val="0"/>
      </w:pPr>
      <w:r>
        <w:rPr>
          <w:sz w:val="20"/>
        </w:rPr>
      </w:r>
    </w:p>
    <w:p>
      <w:pPr>
        <w:pStyle w:val="0"/>
        <w:ind w:firstLine="540"/>
        <w:jc w:val="both"/>
      </w:pPr>
      <w:r>
        <w:rPr>
          <w:sz w:val="20"/>
        </w:rPr>
        <w:t xml:space="preserve">6. Показатели результативности и эффективности контрольно-надзорной деятельности состоят из одной группы ключевых показателей (группа "А") и двух групп индикативных показателей (группы "Б" и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реализации отдельных видов контрольно-надзорных мероприятий.</w:t>
      </w:r>
    </w:p>
    <w:p>
      <w:pPr>
        <w:pStyle w:val="0"/>
        <w:spacing w:before="200" w:line-rule="auto"/>
        <w:ind w:firstLine="540"/>
        <w:jc w:val="both"/>
      </w:pPr>
      <w:r>
        <w:rPr>
          <w:sz w:val="20"/>
        </w:rPr>
        <w:t xml:space="preserve">7. Показатели группы "А" являются ключевыми показателями и отражают существующий и целевой уровни безопасности в подконтрольных (поднадзорных) сферах, к которым применяется определенный вид контрольно-надзорной деятельности. Показатели результативности и эффективности контрольно-надзорной деятельности должны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pPr>
        <w:pStyle w:val="0"/>
        <w:spacing w:before="200" w:line-rule="auto"/>
        <w:ind w:firstLine="540"/>
        <w:jc w:val="both"/>
      </w:pPr>
      <w:r>
        <w:rPr>
          <w:sz w:val="20"/>
        </w:rPr>
        <w:t xml:space="preserve">8. 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соответствует бюджетным затратам на ее осуществление. Показатели результативности и эффективности контрольно-надзорной деятельности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pPr>
        <w:pStyle w:val="0"/>
        <w:spacing w:before="200" w:line-rule="auto"/>
        <w:ind w:firstLine="540"/>
        <w:jc w:val="both"/>
      </w:pPr>
      <w:r>
        <w:rPr>
          <w:sz w:val="20"/>
        </w:rPr>
        <w:t xml:space="preserve">9. 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pPr>
        <w:pStyle w:val="0"/>
        <w:spacing w:before="200" w:line-rule="auto"/>
        <w:ind w:firstLine="540"/>
        <w:jc w:val="both"/>
      </w:pPr>
      <w:r>
        <w:rPr>
          <w:sz w:val="20"/>
        </w:rPr>
        <w:t xml:space="preserve">Показатели группы "В" подразделяются на следующие подгруппы:</w:t>
      </w:r>
    </w:p>
    <w:p>
      <w:pPr>
        <w:pStyle w:val="0"/>
        <w:spacing w:before="200" w:line-rule="auto"/>
        <w:ind w:firstLine="540"/>
        <w:jc w:val="both"/>
      </w:pPr>
      <w:r>
        <w:rPr>
          <w:sz w:val="20"/>
        </w:rPr>
        <w:t xml:space="preserve">1) "В.1"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pPr>
        <w:pStyle w:val="0"/>
        <w:spacing w:before="200" w:line-rule="auto"/>
        <w:ind w:firstLine="540"/>
        <w:jc w:val="both"/>
      </w:pPr>
      <w:r>
        <w:rPr>
          <w:sz w:val="20"/>
        </w:rPr>
        <w:t xml:space="preserve">2) "В.2"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pPr>
        <w:pStyle w:val="0"/>
        <w:spacing w:before="200" w:line-rule="auto"/>
        <w:ind w:firstLine="540"/>
        <w:jc w:val="both"/>
      </w:pPr>
      <w:r>
        <w:rPr>
          <w:sz w:val="20"/>
        </w:rPr>
        <w:t xml:space="preserve">3) "В.3"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pPr>
        <w:pStyle w:val="0"/>
      </w:pPr>
      <w:r>
        <w:rPr>
          <w:sz w:val="20"/>
        </w:rPr>
      </w:r>
    </w:p>
    <w:p>
      <w:pPr>
        <w:pStyle w:val="2"/>
        <w:outlineLvl w:val="1"/>
        <w:jc w:val="center"/>
      </w:pPr>
      <w:r>
        <w:rPr>
          <w:sz w:val="20"/>
        </w:rPr>
        <w:t xml:space="preserve">Глава 2-1. ПАСПОРТ КЛЮЧЕВОГО ПОКАЗАТЕЛЯ</w:t>
      </w:r>
    </w:p>
    <w:p>
      <w:pPr>
        <w:pStyle w:val="0"/>
        <w:jc w:val="center"/>
      </w:pPr>
      <w:r>
        <w:rPr>
          <w:sz w:val="20"/>
        </w:rPr>
        <w:t xml:space="preserve">(введена </w:t>
      </w:r>
      <w:hyperlink w:history="0" r:id="rId26"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w:t>
      </w:r>
    </w:p>
    <w:p>
      <w:pPr>
        <w:pStyle w:val="0"/>
        <w:jc w:val="center"/>
      </w:pPr>
      <w:r>
        <w:rPr>
          <w:sz w:val="20"/>
        </w:rPr>
        <w:t xml:space="preserve">от 23.01.2020 N 26-ПП)</w:t>
      </w:r>
    </w:p>
    <w:p>
      <w:pPr>
        <w:pStyle w:val="0"/>
      </w:pPr>
      <w:r>
        <w:rPr>
          <w:sz w:val="20"/>
        </w:rPr>
      </w:r>
    </w:p>
    <w:p>
      <w:pPr>
        <w:pStyle w:val="0"/>
        <w:ind w:firstLine="540"/>
        <w:jc w:val="both"/>
      </w:pPr>
      <w:r>
        <w:rPr>
          <w:sz w:val="20"/>
        </w:rPr>
        <w:t xml:space="preserve">9-1. В целях определения методик расчета ключевых показателей, определения механизмов сбора полных и достоверных данных и совершенствования систем по работе с данными исполнительные органы государственной власти Свердловской области, реализующие контрольные (надзорные) функции, после определения и утверждения показателей результативности и эффективности контрольно-надзорной деятельности разрабатывают и утверждают паспорта ключевых показателей.</w:t>
      </w:r>
    </w:p>
    <w:p>
      <w:pPr>
        <w:pStyle w:val="0"/>
        <w:spacing w:before="200" w:line-rule="auto"/>
        <w:ind w:firstLine="540"/>
        <w:jc w:val="both"/>
      </w:pPr>
      <w:hyperlink w:history="0" r:id="rId27"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Pr>
            <w:sz w:val="20"/>
            <w:color w:val="0000ff"/>
          </w:rPr>
          <w:t xml:space="preserve">Паспорт</w:t>
        </w:r>
      </w:hyperlink>
      <w:r>
        <w:rPr>
          <w:sz w:val="20"/>
        </w:rPr>
        <w:t xml:space="preserve"> ключевого показателя разрабатывается по форме, утвержденной Распоряжением Правительства Российской Федерации от 17.05.2016 N 934-р.</w:t>
      </w:r>
    </w:p>
    <w:p>
      <w:pPr>
        <w:pStyle w:val="0"/>
        <w:spacing w:before="200" w:line-rule="auto"/>
        <w:ind w:firstLine="540"/>
        <w:jc w:val="both"/>
      </w:pPr>
      <w:r>
        <w:rPr>
          <w:sz w:val="20"/>
        </w:rPr>
        <w:t xml:space="preserve">Паспорт ключевого показателя утверждается руководителем соответствующего исполнительного органа государственной власти Свердловской области, реализующего контрольные (надзорные) функции.</w:t>
      </w:r>
    </w:p>
    <w:p>
      <w:pPr>
        <w:pStyle w:val="0"/>
        <w:spacing w:before="200" w:line-rule="auto"/>
        <w:ind w:firstLine="540"/>
        <w:jc w:val="both"/>
      </w:pPr>
      <w:r>
        <w:rPr>
          <w:sz w:val="20"/>
        </w:rPr>
        <w:t xml:space="preserve">Исполнительные органы государственной власти Свердловской области, реализующие контрольные (надзорные) функции, также могут разрабатывать и утверждать паспорта в отношении индикативных показателей.</w:t>
      </w:r>
    </w:p>
    <w:p>
      <w:pPr>
        <w:pStyle w:val="0"/>
      </w:pPr>
      <w:r>
        <w:rPr>
          <w:sz w:val="20"/>
        </w:rPr>
      </w:r>
    </w:p>
    <w:p>
      <w:pPr>
        <w:pStyle w:val="2"/>
        <w:outlineLvl w:val="1"/>
        <w:jc w:val="center"/>
      </w:pPr>
      <w:r>
        <w:rPr>
          <w:sz w:val="20"/>
        </w:rPr>
        <w:t xml:space="preserve">Глава 3. ФОРМИРОВАНИЕ ОТЧЕТНОСТИ</w:t>
      </w:r>
    </w:p>
    <w:p>
      <w:pPr>
        <w:pStyle w:val="0"/>
      </w:pPr>
      <w:r>
        <w:rPr>
          <w:sz w:val="20"/>
        </w:rPr>
      </w:r>
    </w:p>
    <w:p>
      <w:pPr>
        <w:pStyle w:val="0"/>
        <w:ind w:firstLine="540"/>
        <w:jc w:val="both"/>
      </w:pPr>
      <w:r>
        <w:rPr>
          <w:sz w:val="20"/>
        </w:rPr>
        <w:t xml:space="preserve">10. Отчет по показателям результативности и эффективности контрольно-надзорной деятельности (далее - Отчет) формируется исполнительными органами государственной власти Свердловской области, реализующими контрольные (надзорные) функции, по каждому виду регионального государственного контроля (надзора) и направляется в Министерство экономики и территориального развития Свердловской области ежегодно в срок до 1 апреля года, следующего за отчетным годом, по форме согласно </w:t>
      </w:r>
      <w:hyperlink w:history="0" w:anchor="P228" w:tooltip="ИНФОРМАЦИЯ">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Отчет содержит:</w:t>
      </w:r>
    </w:p>
    <w:p>
      <w:pPr>
        <w:pStyle w:val="0"/>
        <w:spacing w:before="200" w:line-rule="auto"/>
        <w:ind w:firstLine="540"/>
        <w:jc w:val="both"/>
      </w:pPr>
      <w:r>
        <w:rPr>
          <w:sz w:val="20"/>
        </w:rPr>
        <w:t xml:space="preserve">1) информацию о фактически достигнутых значениях и балльных оценках ключевых показателей результативности и эффективности контрольно-надзорной деятельности группы "А";</w:t>
      </w:r>
    </w:p>
    <w:p>
      <w:pPr>
        <w:pStyle w:val="0"/>
        <w:spacing w:before="200" w:line-rule="auto"/>
        <w:ind w:firstLine="540"/>
        <w:jc w:val="both"/>
      </w:pPr>
      <w:r>
        <w:rPr>
          <w:sz w:val="20"/>
        </w:rPr>
        <w:t xml:space="preserve">2) сравнение целевых и фактически достигнутых значений ключевых показателей результативности и эффективности контрольно-надзорной деятельности;</w:t>
      </w:r>
    </w:p>
    <w:p>
      <w:pPr>
        <w:pStyle w:val="0"/>
        <w:spacing w:before="200" w:line-rule="auto"/>
        <w:ind w:firstLine="540"/>
        <w:jc w:val="both"/>
      </w:pPr>
      <w:r>
        <w:rPr>
          <w:sz w:val="20"/>
        </w:rPr>
        <w:t xml:space="preserve">3) анализ причин невыполнения установленных целевых значений ключевых показателей результативности и эффективности контрольно-надзорной деятельности (в случае их невыполнения);</w:t>
      </w:r>
    </w:p>
    <w:p>
      <w:pPr>
        <w:pStyle w:val="0"/>
        <w:spacing w:before="200" w:line-rule="auto"/>
        <w:ind w:firstLine="540"/>
        <w:jc w:val="both"/>
      </w:pPr>
      <w:r>
        <w:rPr>
          <w:sz w:val="20"/>
        </w:rPr>
        <w:t xml:space="preserve">4) выводы о результативности и эффективности контрольно-надзорной деятельности, в том числе о достижении социально значимых результатов в подконтрольной сфере, сокращении административных и финансовых издержек подконтрольных субъектов, об эффективности использования трудовых, материальных и финансовых ресурсов при осуществлении государственного контроля (надзора);</w:t>
      </w:r>
    </w:p>
    <w:p>
      <w:pPr>
        <w:pStyle w:val="0"/>
        <w:spacing w:before="200" w:line-rule="auto"/>
        <w:ind w:firstLine="540"/>
        <w:jc w:val="both"/>
      </w:pPr>
      <w:r>
        <w:rPr>
          <w:sz w:val="20"/>
        </w:rPr>
        <w:t xml:space="preserve">5) информацию о принятых и планируемых мерах по повышению результативности и эффективности контрольно-надзорной деятельности.</w:t>
      </w:r>
    </w:p>
    <w:p>
      <w:pPr>
        <w:pStyle w:val="0"/>
        <w:spacing w:before="200" w:line-rule="auto"/>
        <w:ind w:firstLine="540"/>
        <w:jc w:val="both"/>
      </w:pPr>
      <w:r>
        <w:rPr>
          <w:sz w:val="20"/>
        </w:rPr>
        <w:t xml:space="preserve">11. В целях общественного обсуждения Отчет публикуется в открытом доступе на официальном сайте исполнительного органа государственной власти Свердловской области в информационно-телекоммуникационной сети "Интернет" в срок до 1 апреля года, следующего за отчетным годом, и рассматривается общественным советом при исполнительном органе государственной власти Свердловской области до 1 июня года, следующего за отчетным годом.</w:t>
      </w:r>
    </w:p>
    <w:p>
      <w:pPr>
        <w:pStyle w:val="0"/>
        <w:spacing w:before="200" w:line-rule="auto"/>
        <w:ind w:firstLine="540"/>
        <w:jc w:val="both"/>
      </w:pPr>
      <w:r>
        <w:rPr>
          <w:sz w:val="20"/>
        </w:rPr>
        <w:t xml:space="preserve">12. Министерство экономики и территориального развития Свердловской области на основе полученной информации формирует итоговую оценку результативности и эффективности деятельности исполнительных органов государственной власти Свердловской области по видам регионального государственного контроля (надзора) и составляет рейтинг результативности и эффективности контрольно-надзорной деятельности.</w:t>
      </w:r>
    </w:p>
    <w:p>
      <w:pPr>
        <w:pStyle w:val="0"/>
        <w:jc w:val="both"/>
      </w:pPr>
      <w:r>
        <w:rPr>
          <w:sz w:val="20"/>
        </w:rPr>
        <w:t xml:space="preserve">(п. 12 в ред. </w:t>
      </w:r>
      <w:hyperlink w:history="0" r:id="rId28"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29.04.2021 N 257-ПП)</w:t>
      </w:r>
    </w:p>
    <w:p>
      <w:pPr>
        <w:pStyle w:val="0"/>
        <w:spacing w:before="200" w:line-rule="auto"/>
        <w:ind w:firstLine="540"/>
        <w:jc w:val="both"/>
      </w:pPr>
      <w:r>
        <w:rPr>
          <w:sz w:val="20"/>
        </w:rPr>
        <w:t xml:space="preserve">13. Балльная оценка ключевых показателей определяется исходя из степени их достижения:</w:t>
      </w:r>
    </w:p>
    <w:p>
      <w:pPr>
        <w:pStyle w:val="0"/>
        <w:spacing w:before="200" w:line-rule="auto"/>
        <w:ind w:firstLine="540"/>
        <w:jc w:val="both"/>
      </w:pPr>
      <w:r>
        <w:rPr>
          <w:sz w:val="20"/>
        </w:rPr>
        <w:t xml:space="preserve">1) балльная оценка ключевых показателей, по которым установлены целевые значения в абсолютных значениях, определяется исходя из степени их достижения по 5-балльной шкале: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5556"/>
        <w:gridCol w:w="1247"/>
      </w:tblGrid>
      <w:tr>
        <w:tc>
          <w:tcPr>
            <w:tcW w:w="2268" w:type="dxa"/>
          </w:tcPr>
          <w:p>
            <w:pPr>
              <w:pStyle w:val="0"/>
              <w:jc w:val="center"/>
            </w:pPr>
            <w:r>
              <w:rPr>
                <w:sz w:val="20"/>
              </w:rPr>
              <w:t xml:space="preserve">Значение ключевого показателя</w:t>
            </w:r>
          </w:p>
        </w:tc>
        <w:tc>
          <w:tcPr>
            <w:tcW w:w="5556" w:type="dxa"/>
          </w:tcPr>
          <w:p>
            <w:pPr>
              <w:pStyle w:val="0"/>
              <w:jc w:val="center"/>
            </w:pPr>
            <w:r>
              <w:rPr>
                <w:sz w:val="20"/>
              </w:rPr>
              <w:t xml:space="preserve">Отклонение фактического значения от целевого значения</w:t>
            </w:r>
          </w:p>
        </w:tc>
        <w:tc>
          <w:tcPr>
            <w:tcW w:w="1247" w:type="dxa"/>
          </w:tcPr>
          <w:p>
            <w:pPr>
              <w:pStyle w:val="0"/>
              <w:jc w:val="center"/>
            </w:pPr>
            <w:r>
              <w:rPr>
                <w:sz w:val="20"/>
              </w:rPr>
              <w:t xml:space="preserve">Балльная оценка</w:t>
            </w:r>
          </w:p>
        </w:tc>
      </w:tr>
      <w:tr>
        <w:tc>
          <w:tcPr>
            <w:tcW w:w="2268" w:type="dxa"/>
            <w:vMerge w:val="restart"/>
          </w:tcPr>
          <w:p>
            <w:pPr>
              <w:pStyle w:val="0"/>
            </w:pPr>
            <w:r>
              <w:rPr>
                <w:sz w:val="20"/>
              </w:rPr>
              <w:t xml:space="preserve">Предельное значение ключевого показателя, характеризующееся достижением максимально возможного состояния</w:t>
            </w:r>
          </w:p>
        </w:tc>
        <w:tc>
          <w:tcPr>
            <w:tcW w:w="5556" w:type="dxa"/>
          </w:tcPr>
          <w:p>
            <w:pPr>
              <w:pStyle w:val="0"/>
            </w:pPr>
            <w:r>
              <w:rPr>
                <w:sz w:val="20"/>
              </w:rPr>
              <w:t xml:space="preserve">ниже целевого значения более чем на 30%</w:t>
            </w:r>
          </w:p>
        </w:tc>
        <w:tc>
          <w:tcPr>
            <w:tcW w:w="1247" w:type="dxa"/>
          </w:tcPr>
          <w:p>
            <w:pPr>
              <w:pStyle w:val="0"/>
              <w:jc w:val="center"/>
            </w:pPr>
            <w:r>
              <w:rPr>
                <w:sz w:val="20"/>
              </w:rPr>
              <w:t xml:space="preserve">1</w:t>
            </w:r>
          </w:p>
        </w:tc>
      </w:tr>
      <w:tr>
        <w:tc>
          <w:tcPr>
            <w:vMerge w:val="continue"/>
          </w:tcPr>
          <w:p/>
        </w:tc>
        <w:tc>
          <w:tcPr>
            <w:tcW w:w="5556" w:type="dxa"/>
          </w:tcPr>
          <w:p>
            <w:pPr>
              <w:pStyle w:val="0"/>
            </w:pPr>
            <w:r>
              <w:rPr>
                <w:sz w:val="20"/>
              </w:rPr>
              <w:t xml:space="preserve">ниже целевого значения более чем на 20%, но менее чем на 30%</w:t>
            </w:r>
          </w:p>
        </w:tc>
        <w:tc>
          <w:tcPr>
            <w:tcW w:w="1247" w:type="dxa"/>
          </w:tcPr>
          <w:p>
            <w:pPr>
              <w:pStyle w:val="0"/>
              <w:jc w:val="center"/>
            </w:pPr>
            <w:r>
              <w:rPr>
                <w:sz w:val="20"/>
              </w:rPr>
              <w:t xml:space="preserve">2</w:t>
            </w:r>
          </w:p>
        </w:tc>
      </w:tr>
      <w:tr>
        <w:tc>
          <w:tcPr>
            <w:vMerge w:val="continue"/>
          </w:tcPr>
          <w:p/>
        </w:tc>
        <w:tc>
          <w:tcPr>
            <w:tcW w:w="5556" w:type="dxa"/>
          </w:tcPr>
          <w:p>
            <w:pPr>
              <w:pStyle w:val="0"/>
            </w:pPr>
            <w:r>
              <w:rPr>
                <w:sz w:val="20"/>
              </w:rPr>
              <w:t xml:space="preserve">ниже целевого значения более чем на 10%, но менее чем на 20%</w:t>
            </w:r>
          </w:p>
        </w:tc>
        <w:tc>
          <w:tcPr>
            <w:tcW w:w="1247" w:type="dxa"/>
          </w:tcPr>
          <w:p>
            <w:pPr>
              <w:pStyle w:val="0"/>
              <w:jc w:val="center"/>
            </w:pPr>
            <w:r>
              <w:rPr>
                <w:sz w:val="20"/>
              </w:rPr>
              <w:t xml:space="preserve">3</w:t>
            </w:r>
          </w:p>
        </w:tc>
      </w:tr>
      <w:tr>
        <w:tc>
          <w:tcPr>
            <w:vMerge w:val="continue"/>
          </w:tcPr>
          <w:p/>
        </w:tc>
        <w:tc>
          <w:tcPr>
            <w:tcW w:w="5556" w:type="dxa"/>
          </w:tcPr>
          <w:p>
            <w:pPr>
              <w:pStyle w:val="0"/>
            </w:pPr>
            <w:r>
              <w:rPr>
                <w:sz w:val="20"/>
              </w:rPr>
              <w:t xml:space="preserve">ниже целевого значения более чем на 2%, но менее чем на 10%</w:t>
            </w:r>
          </w:p>
        </w:tc>
        <w:tc>
          <w:tcPr>
            <w:tcW w:w="1247" w:type="dxa"/>
          </w:tcPr>
          <w:p>
            <w:pPr>
              <w:pStyle w:val="0"/>
              <w:jc w:val="center"/>
            </w:pPr>
            <w:r>
              <w:rPr>
                <w:sz w:val="20"/>
              </w:rPr>
              <w:t xml:space="preserve">4</w:t>
            </w:r>
          </w:p>
        </w:tc>
      </w:tr>
      <w:tr>
        <w:tc>
          <w:tcPr>
            <w:vMerge w:val="continue"/>
          </w:tcPr>
          <w:p/>
        </w:tc>
        <w:tc>
          <w:tcPr>
            <w:tcW w:w="5556" w:type="dxa"/>
          </w:tcPr>
          <w:p>
            <w:pPr>
              <w:pStyle w:val="0"/>
            </w:pPr>
            <w:r>
              <w:rPr>
                <w:sz w:val="20"/>
              </w:rPr>
              <w:t xml:space="preserve">ниже целевого значения не более чем на 2%, равно или выше целевого значения не более чем на 5%</w:t>
            </w:r>
          </w:p>
        </w:tc>
        <w:tc>
          <w:tcPr>
            <w:tcW w:w="1247" w:type="dxa"/>
          </w:tcPr>
          <w:p>
            <w:pPr>
              <w:pStyle w:val="0"/>
              <w:jc w:val="center"/>
            </w:pPr>
            <w:r>
              <w:rPr>
                <w:sz w:val="20"/>
              </w:rPr>
              <w:t xml:space="preserve">5</w:t>
            </w:r>
          </w:p>
        </w:tc>
      </w:tr>
      <w:tr>
        <w:tc>
          <w:tcPr>
            <w:tcW w:w="2268" w:type="dxa"/>
            <w:vMerge w:val="restart"/>
          </w:tcPr>
          <w:p>
            <w:pPr>
              <w:pStyle w:val="0"/>
            </w:pPr>
            <w:r>
              <w:rPr>
                <w:sz w:val="20"/>
              </w:rPr>
              <w:t xml:space="preserve">Предельное значение ключевого показателя, характеризующееся достижением минимально возможного состояния</w:t>
            </w:r>
          </w:p>
        </w:tc>
        <w:tc>
          <w:tcPr>
            <w:tcW w:w="5556" w:type="dxa"/>
          </w:tcPr>
          <w:p>
            <w:pPr>
              <w:pStyle w:val="0"/>
            </w:pPr>
            <w:r>
              <w:rPr>
                <w:sz w:val="20"/>
              </w:rPr>
              <w:t xml:space="preserve">выше целевого значения более чем на 30%</w:t>
            </w:r>
          </w:p>
        </w:tc>
        <w:tc>
          <w:tcPr>
            <w:tcW w:w="1247" w:type="dxa"/>
          </w:tcPr>
          <w:p>
            <w:pPr>
              <w:pStyle w:val="0"/>
              <w:jc w:val="center"/>
            </w:pPr>
            <w:r>
              <w:rPr>
                <w:sz w:val="20"/>
              </w:rPr>
              <w:t xml:space="preserve">1</w:t>
            </w:r>
          </w:p>
        </w:tc>
      </w:tr>
      <w:tr>
        <w:tc>
          <w:tcPr>
            <w:vMerge w:val="continue"/>
          </w:tcPr>
          <w:p/>
        </w:tc>
        <w:tc>
          <w:tcPr>
            <w:tcW w:w="5556" w:type="dxa"/>
          </w:tcPr>
          <w:p>
            <w:pPr>
              <w:pStyle w:val="0"/>
            </w:pPr>
            <w:r>
              <w:rPr>
                <w:sz w:val="20"/>
              </w:rPr>
              <w:t xml:space="preserve">выше целевого значения более чем на 20%, но менее чем на 30%</w:t>
            </w:r>
          </w:p>
        </w:tc>
        <w:tc>
          <w:tcPr>
            <w:tcW w:w="1247" w:type="dxa"/>
          </w:tcPr>
          <w:p>
            <w:pPr>
              <w:pStyle w:val="0"/>
              <w:jc w:val="center"/>
            </w:pPr>
            <w:r>
              <w:rPr>
                <w:sz w:val="20"/>
              </w:rPr>
              <w:t xml:space="preserve">2</w:t>
            </w:r>
          </w:p>
        </w:tc>
      </w:tr>
      <w:tr>
        <w:tc>
          <w:tcPr>
            <w:vMerge w:val="continue"/>
          </w:tcPr>
          <w:p/>
        </w:tc>
        <w:tc>
          <w:tcPr>
            <w:tcW w:w="5556" w:type="dxa"/>
          </w:tcPr>
          <w:p>
            <w:pPr>
              <w:pStyle w:val="0"/>
            </w:pPr>
            <w:r>
              <w:rPr>
                <w:sz w:val="20"/>
              </w:rPr>
              <w:t xml:space="preserve">выше целевого значения более чем на 10%, но менее чем на 20%</w:t>
            </w:r>
          </w:p>
        </w:tc>
        <w:tc>
          <w:tcPr>
            <w:tcW w:w="1247" w:type="dxa"/>
          </w:tcPr>
          <w:p>
            <w:pPr>
              <w:pStyle w:val="0"/>
              <w:jc w:val="center"/>
            </w:pPr>
            <w:r>
              <w:rPr>
                <w:sz w:val="20"/>
              </w:rPr>
              <w:t xml:space="preserve">3</w:t>
            </w:r>
          </w:p>
        </w:tc>
      </w:tr>
      <w:tr>
        <w:tc>
          <w:tcPr>
            <w:vMerge w:val="continue"/>
          </w:tcPr>
          <w:p/>
        </w:tc>
        <w:tc>
          <w:tcPr>
            <w:tcW w:w="5556" w:type="dxa"/>
          </w:tcPr>
          <w:p>
            <w:pPr>
              <w:pStyle w:val="0"/>
            </w:pPr>
            <w:r>
              <w:rPr>
                <w:sz w:val="20"/>
              </w:rPr>
              <w:t xml:space="preserve">выше целевого значения более чем на 2%, но менее чем на 10%</w:t>
            </w:r>
          </w:p>
        </w:tc>
        <w:tc>
          <w:tcPr>
            <w:tcW w:w="1247" w:type="dxa"/>
          </w:tcPr>
          <w:p>
            <w:pPr>
              <w:pStyle w:val="0"/>
              <w:jc w:val="center"/>
            </w:pPr>
            <w:r>
              <w:rPr>
                <w:sz w:val="20"/>
              </w:rPr>
              <w:t xml:space="preserve">4</w:t>
            </w:r>
          </w:p>
        </w:tc>
      </w:tr>
      <w:tr>
        <w:tc>
          <w:tcPr>
            <w:vMerge w:val="continue"/>
          </w:tcPr>
          <w:p/>
        </w:tc>
        <w:tc>
          <w:tcPr>
            <w:tcW w:w="5556" w:type="dxa"/>
          </w:tcPr>
          <w:p>
            <w:pPr>
              <w:pStyle w:val="0"/>
            </w:pPr>
            <w:r>
              <w:rPr>
                <w:sz w:val="20"/>
              </w:rPr>
              <w:t xml:space="preserve">выше целевого значения не более чем на 2%, равно или ниже целевого значения не более чем на 5%</w:t>
            </w:r>
          </w:p>
        </w:tc>
        <w:tc>
          <w:tcPr>
            <w:tcW w:w="1247" w:type="dxa"/>
          </w:tcPr>
          <w:p>
            <w:pPr>
              <w:pStyle w:val="0"/>
              <w:jc w:val="center"/>
            </w:pPr>
            <w:r>
              <w:rPr>
                <w:sz w:val="20"/>
              </w:rPr>
              <w:t xml:space="preserve">5</w:t>
            </w:r>
          </w:p>
        </w:tc>
      </w:tr>
    </w:tbl>
    <w:p>
      <w:pPr>
        <w:pStyle w:val="0"/>
      </w:pPr>
      <w:r>
        <w:rPr>
          <w:sz w:val="20"/>
        </w:rPr>
      </w:r>
    </w:p>
    <w:p>
      <w:pPr>
        <w:pStyle w:val="0"/>
        <w:ind w:firstLine="540"/>
        <w:jc w:val="both"/>
      </w:pPr>
      <w:r>
        <w:rPr>
          <w:sz w:val="20"/>
        </w:rPr>
        <w:t xml:space="preserve">2) балльная оценка ключевых показателей, по которым установлены целевые значения в процентах, определяется исходя из степени их достижения по 5-балльной шкале: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5556"/>
        <w:gridCol w:w="1247"/>
      </w:tblGrid>
      <w:tr>
        <w:tc>
          <w:tcPr>
            <w:tcW w:w="2268" w:type="dxa"/>
          </w:tcPr>
          <w:p>
            <w:pPr>
              <w:pStyle w:val="0"/>
              <w:jc w:val="center"/>
            </w:pPr>
            <w:r>
              <w:rPr>
                <w:sz w:val="20"/>
              </w:rPr>
              <w:t xml:space="preserve">Значение ключевого показателя</w:t>
            </w:r>
          </w:p>
        </w:tc>
        <w:tc>
          <w:tcPr>
            <w:tcW w:w="5556" w:type="dxa"/>
          </w:tcPr>
          <w:p>
            <w:pPr>
              <w:pStyle w:val="0"/>
              <w:jc w:val="center"/>
            </w:pPr>
            <w:r>
              <w:rPr>
                <w:sz w:val="20"/>
              </w:rPr>
              <w:t xml:space="preserve">Отклонение фактического значения от целевого значения</w:t>
            </w:r>
          </w:p>
        </w:tc>
        <w:tc>
          <w:tcPr>
            <w:tcW w:w="1247" w:type="dxa"/>
          </w:tcPr>
          <w:p>
            <w:pPr>
              <w:pStyle w:val="0"/>
              <w:jc w:val="center"/>
            </w:pPr>
            <w:r>
              <w:rPr>
                <w:sz w:val="20"/>
              </w:rPr>
              <w:t xml:space="preserve">Балльная оценка</w:t>
            </w:r>
          </w:p>
        </w:tc>
      </w:tr>
      <w:tr>
        <w:tc>
          <w:tcPr>
            <w:tcW w:w="2268" w:type="dxa"/>
            <w:vMerge w:val="restart"/>
          </w:tcPr>
          <w:p>
            <w:pPr>
              <w:pStyle w:val="0"/>
            </w:pPr>
            <w:r>
              <w:rPr>
                <w:sz w:val="20"/>
              </w:rPr>
              <w:t xml:space="preserve">Значение ключевого показателя, характеризующееся достижением максимально возможного состояния</w:t>
            </w:r>
          </w:p>
        </w:tc>
        <w:tc>
          <w:tcPr>
            <w:tcW w:w="5556" w:type="dxa"/>
          </w:tcPr>
          <w:p>
            <w:pPr>
              <w:pStyle w:val="0"/>
            </w:pPr>
            <w:r>
              <w:rPr>
                <w:sz w:val="20"/>
              </w:rPr>
              <w:t xml:space="preserve">ниже целевого значения более чем на 10 процентных пунктов</w:t>
            </w:r>
          </w:p>
        </w:tc>
        <w:tc>
          <w:tcPr>
            <w:tcW w:w="1247" w:type="dxa"/>
          </w:tcPr>
          <w:p>
            <w:pPr>
              <w:pStyle w:val="0"/>
              <w:jc w:val="center"/>
            </w:pPr>
            <w:r>
              <w:rPr>
                <w:sz w:val="20"/>
              </w:rPr>
              <w:t xml:space="preserve">1</w:t>
            </w:r>
          </w:p>
        </w:tc>
      </w:tr>
      <w:tr>
        <w:tc>
          <w:tcPr>
            <w:vMerge w:val="continue"/>
          </w:tcPr>
          <w:p/>
        </w:tc>
        <w:tc>
          <w:tcPr>
            <w:tcW w:w="5556" w:type="dxa"/>
          </w:tcPr>
          <w:p>
            <w:pPr>
              <w:pStyle w:val="0"/>
            </w:pPr>
            <w:r>
              <w:rPr>
                <w:sz w:val="20"/>
              </w:rPr>
              <w:t xml:space="preserve">ниже целевого значения более чем на 5, но менее чем на 10 процентных пунктов включительно</w:t>
            </w:r>
          </w:p>
        </w:tc>
        <w:tc>
          <w:tcPr>
            <w:tcW w:w="1247" w:type="dxa"/>
          </w:tcPr>
          <w:p>
            <w:pPr>
              <w:pStyle w:val="0"/>
              <w:jc w:val="center"/>
            </w:pPr>
            <w:r>
              <w:rPr>
                <w:sz w:val="20"/>
              </w:rPr>
              <w:t xml:space="preserve">2</w:t>
            </w:r>
          </w:p>
        </w:tc>
      </w:tr>
      <w:tr>
        <w:tc>
          <w:tcPr>
            <w:vMerge w:val="continue"/>
          </w:tcPr>
          <w:p/>
        </w:tc>
        <w:tc>
          <w:tcPr>
            <w:tcW w:w="5556" w:type="dxa"/>
          </w:tcPr>
          <w:p>
            <w:pPr>
              <w:pStyle w:val="0"/>
            </w:pPr>
            <w:r>
              <w:rPr>
                <w:sz w:val="20"/>
              </w:rPr>
              <w:t xml:space="preserve">ниже целевого значения более чем на 2, но менее чем на 5 процентных пунктов включительно</w:t>
            </w:r>
          </w:p>
        </w:tc>
        <w:tc>
          <w:tcPr>
            <w:tcW w:w="1247" w:type="dxa"/>
          </w:tcPr>
          <w:p>
            <w:pPr>
              <w:pStyle w:val="0"/>
              <w:jc w:val="center"/>
            </w:pPr>
            <w:r>
              <w:rPr>
                <w:sz w:val="20"/>
              </w:rPr>
              <w:t xml:space="preserve">3</w:t>
            </w:r>
          </w:p>
        </w:tc>
      </w:tr>
      <w:tr>
        <w:tc>
          <w:tcPr>
            <w:vMerge w:val="continue"/>
          </w:tcPr>
          <w:p/>
        </w:tc>
        <w:tc>
          <w:tcPr>
            <w:tcW w:w="5556" w:type="dxa"/>
          </w:tcPr>
          <w:p>
            <w:pPr>
              <w:pStyle w:val="0"/>
            </w:pPr>
            <w:r>
              <w:rPr>
                <w:sz w:val="20"/>
              </w:rPr>
              <w:t xml:space="preserve">ниже целевого значения не более чем на 2 процентных пункта включительно</w:t>
            </w:r>
          </w:p>
        </w:tc>
        <w:tc>
          <w:tcPr>
            <w:tcW w:w="1247" w:type="dxa"/>
          </w:tcPr>
          <w:p>
            <w:pPr>
              <w:pStyle w:val="0"/>
              <w:jc w:val="center"/>
            </w:pPr>
            <w:r>
              <w:rPr>
                <w:sz w:val="20"/>
              </w:rPr>
              <w:t xml:space="preserve">4</w:t>
            </w:r>
          </w:p>
        </w:tc>
      </w:tr>
      <w:tr>
        <w:tc>
          <w:tcPr>
            <w:vMerge w:val="continue"/>
          </w:tcPr>
          <w:p/>
        </w:tc>
        <w:tc>
          <w:tcPr>
            <w:tcW w:w="5556" w:type="dxa"/>
          </w:tcPr>
          <w:p>
            <w:pPr>
              <w:pStyle w:val="0"/>
            </w:pPr>
            <w:r>
              <w:rPr>
                <w:sz w:val="20"/>
              </w:rPr>
              <w:t xml:space="preserve">ниже целевого значения не более чем на 0,5 процентных пункта включительно, равно или выше целевого значения не более чем на 1 процентный пункт</w:t>
            </w:r>
          </w:p>
        </w:tc>
        <w:tc>
          <w:tcPr>
            <w:tcW w:w="1247" w:type="dxa"/>
          </w:tcPr>
          <w:p>
            <w:pPr>
              <w:pStyle w:val="0"/>
              <w:jc w:val="center"/>
            </w:pPr>
            <w:r>
              <w:rPr>
                <w:sz w:val="20"/>
              </w:rPr>
              <w:t xml:space="preserve">5</w:t>
            </w:r>
          </w:p>
        </w:tc>
      </w:tr>
      <w:tr>
        <w:tc>
          <w:tcPr>
            <w:tcW w:w="2268" w:type="dxa"/>
            <w:vMerge w:val="restart"/>
          </w:tcPr>
          <w:p>
            <w:pPr>
              <w:pStyle w:val="0"/>
            </w:pPr>
            <w:r>
              <w:rPr>
                <w:sz w:val="20"/>
              </w:rPr>
              <w:t xml:space="preserve">Значение ключевого показателя, характеризующееся достижением минимально возможного состояния</w:t>
            </w:r>
          </w:p>
        </w:tc>
        <w:tc>
          <w:tcPr>
            <w:tcW w:w="5556" w:type="dxa"/>
          </w:tcPr>
          <w:p>
            <w:pPr>
              <w:pStyle w:val="0"/>
            </w:pPr>
            <w:r>
              <w:rPr>
                <w:sz w:val="20"/>
              </w:rPr>
              <w:t xml:space="preserve">выше целевого значения более чем на 10 процентных пунктов</w:t>
            </w:r>
          </w:p>
        </w:tc>
        <w:tc>
          <w:tcPr>
            <w:tcW w:w="1247" w:type="dxa"/>
          </w:tcPr>
          <w:p>
            <w:pPr>
              <w:pStyle w:val="0"/>
              <w:jc w:val="center"/>
            </w:pPr>
            <w:r>
              <w:rPr>
                <w:sz w:val="20"/>
              </w:rPr>
              <w:t xml:space="preserve">1</w:t>
            </w:r>
          </w:p>
        </w:tc>
      </w:tr>
      <w:tr>
        <w:tc>
          <w:tcPr>
            <w:vMerge w:val="continue"/>
          </w:tcPr>
          <w:p/>
        </w:tc>
        <w:tc>
          <w:tcPr>
            <w:tcW w:w="5556" w:type="dxa"/>
          </w:tcPr>
          <w:p>
            <w:pPr>
              <w:pStyle w:val="0"/>
            </w:pPr>
            <w:r>
              <w:rPr>
                <w:sz w:val="20"/>
              </w:rPr>
              <w:t xml:space="preserve">выше целевого значения более чем на 5, но менее чем на 10 процентных пунктов включительно</w:t>
            </w:r>
          </w:p>
        </w:tc>
        <w:tc>
          <w:tcPr>
            <w:tcW w:w="1247" w:type="dxa"/>
          </w:tcPr>
          <w:p>
            <w:pPr>
              <w:pStyle w:val="0"/>
              <w:jc w:val="center"/>
            </w:pPr>
            <w:r>
              <w:rPr>
                <w:sz w:val="20"/>
              </w:rPr>
              <w:t xml:space="preserve">2</w:t>
            </w:r>
          </w:p>
        </w:tc>
      </w:tr>
      <w:tr>
        <w:tc>
          <w:tcPr>
            <w:vMerge w:val="continue"/>
          </w:tcPr>
          <w:p/>
        </w:tc>
        <w:tc>
          <w:tcPr>
            <w:tcW w:w="5556" w:type="dxa"/>
          </w:tcPr>
          <w:p>
            <w:pPr>
              <w:pStyle w:val="0"/>
            </w:pPr>
            <w:r>
              <w:rPr>
                <w:sz w:val="20"/>
              </w:rPr>
              <w:t xml:space="preserve">выше целевого значения более чем на 2, но менее чем на 5 процентных пунктов включительно</w:t>
            </w:r>
          </w:p>
        </w:tc>
        <w:tc>
          <w:tcPr>
            <w:tcW w:w="1247" w:type="dxa"/>
          </w:tcPr>
          <w:p>
            <w:pPr>
              <w:pStyle w:val="0"/>
              <w:jc w:val="center"/>
            </w:pPr>
            <w:r>
              <w:rPr>
                <w:sz w:val="20"/>
              </w:rPr>
              <w:t xml:space="preserve">3</w:t>
            </w:r>
          </w:p>
        </w:tc>
      </w:tr>
      <w:tr>
        <w:tc>
          <w:tcPr>
            <w:vMerge w:val="continue"/>
          </w:tcPr>
          <w:p/>
        </w:tc>
        <w:tc>
          <w:tcPr>
            <w:tcW w:w="5556" w:type="dxa"/>
          </w:tcPr>
          <w:p>
            <w:pPr>
              <w:pStyle w:val="0"/>
            </w:pPr>
            <w:r>
              <w:rPr>
                <w:sz w:val="20"/>
              </w:rPr>
              <w:t xml:space="preserve">выше целевого значения не более чем на 2 процентных пункта включительно</w:t>
            </w:r>
          </w:p>
        </w:tc>
        <w:tc>
          <w:tcPr>
            <w:tcW w:w="1247" w:type="dxa"/>
          </w:tcPr>
          <w:p>
            <w:pPr>
              <w:pStyle w:val="0"/>
              <w:jc w:val="center"/>
            </w:pPr>
            <w:r>
              <w:rPr>
                <w:sz w:val="20"/>
              </w:rPr>
              <w:t xml:space="preserve">4</w:t>
            </w:r>
          </w:p>
        </w:tc>
      </w:tr>
      <w:tr>
        <w:tc>
          <w:tcPr>
            <w:vMerge w:val="continue"/>
          </w:tcPr>
          <w:p/>
        </w:tc>
        <w:tc>
          <w:tcPr>
            <w:tcW w:w="5556" w:type="dxa"/>
          </w:tcPr>
          <w:p>
            <w:pPr>
              <w:pStyle w:val="0"/>
            </w:pPr>
            <w:r>
              <w:rPr>
                <w:sz w:val="20"/>
              </w:rPr>
              <w:t xml:space="preserve">выше целевого значения не более чем на 0,5 процентных пункта, равно или ниже целевого значения не более чем на 1 процентный пункт</w:t>
            </w:r>
          </w:p>
        </w:tc>
        <w:tc>
          <w:tcPr>
            <w:tcW w:w="1247" w:type="dxa"/>
          </w:tcPr>
          <w:p>
            <w:pPr>
              <w:pStyle w:val="0"/>
              <w:jc w:val="center"/>
            </w:pPr>
            <w:r>
              <w:rPr>
                <w:sz w:val="20"/>
              </w:rPr>
              <w:t xml:space="preserve">5</w:t>
            </w:r>
          </w:p>
        </w:tc>
      </w:tr>
    </w:tbl>
    <w:p>
      <w:pPr>
        <w:pStyle w:val="0"/>
      </w:pPr>
      <w:r>
        <w:rPr>
          <w:sz w:val="20"/>
        </w:rPr>
      </w:r>
    </w:p>
    <w:bookmarkStart w:id="165" w:name="P165"/>
    <w:bookmarkEnd w:id="165"/>
    <w:p>
      <w:pPr>
        <w:pStyle w:val="0"/>
        <w:ind w:firstLine="540"/>
        <w:jc w:val="both"/>
      </w:pPr>
      <w:r>
        <w:rPr>
          <w:sz w:val="20"/>
        </w:rPr>
        <w:t xml:space="preserve">3) в случае когда фактическое значение выше (ниже) целевого значения ключевого показателя, характеризующегося достижением максимально (минимально) возможного состояния, более чем на 5% (для показателей, по которым установлены целевые значения в абсолютных значениях)/0,5 процентных пункта (для показателей, по которым установлены целевые значения в процентах), балльная оценка определяется исходя из их динамики по отношению к уровню предыдущего года по 3-балльной шкале:</w:t>
      </w:r>
    </w:p>
    <w:p>
      <w:pPr>
        <w:pStyle w:val="0"/>
        <w:jc w:val="both"/>
      </w:pPr>
      <w:r>
        <w:rPr>
          <w:sz w:val="20"/>
        </w:rPr>
        <w:t xml:space="preserve">(в ред. </w:t>
      </w:r>
      <w:hyperlink w:history="0" r:id="rId29"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29.12.2021 N 994-ПП)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3742"/>
        <w:gridCol w:w="1247"/>
      </w:tblGrid>
      <w:tr>
        <w:tc>
          <w:tcPr>
            <w:gridSpan w:val="2"/>
            <w:tcW w:w="7824" w:type="dxa"/>
          </w:tcPr>
          <w:p>
            <w:pPr>
              <w:pStyle w:val="0"/>
              <w:jc w:val="center"/>
            </w:pPr>
            <w:r>
              <w:rPr>
                <w:sz w:val="20"/>
              </w:rPr>
              <w:t xml:space="preserve">Динамика показателя (по сравнению с предыдущим годом)</w:t>
            </w:r>
          </w:p>
        </w:tc>
        <w:tc>
          <w:tcPr>
            <w:tcW w:w="1247" w:type="dxa"/>
          </w:tcPr>
          <w:p>
            <w:pPr>
              <w:pStyle w:val="0"/>
              <w:jc w:val="center"/>
            </w:pPr>
            <w:r>
              <w:rPr>
                <w:sz w:val="20"/>
              </w:rPr>
              <w:t xml:space="preserve">Балльная оценка</w:t>
            </w:r>
          </w:p>
        </w:tc>
      </w:tr>
      <w:tr>
        <w:tc>
          <w:tcPr>
            <w:tcW w:w="4082" w:type="dxa"/>
          </w:tcPr>
          <w:p>
            <w:pPr>
              <w:pStyle w:val="0"/>
            </w:pPr>
            <w:r>
              <w:rPr>
                <w:sz w:val="20"/>
              </w:rPr>
              <w:t xml:space="preserve">Значение показателя выражено в процентах (доля, отношение, иное)</w:t>
            </w:r>
          </w:p>
        </w:tc>
        <w:tc>
          <w:tcPr>
            <w:tcW w:w="3742" w:type="dxa"/>
          </w:tcPr>
          <w:p>
            <w:pPr>
              <w:pStyle w:val="0"/>
            </w:pPr>
            <w:r>
              <w:rPr>
                <w:sz w:val="20"/>
              </w:rPr>
              <w:t xml:space="preserve">значение показателя выражено в иных единицах измерения</w:t>
            </w:r>
          </w:p>
        </w:tc>
        <w:tc>
          <w:tcPr>
            <w:tcW w:w="1247" w:type="dxa"/>
          </w:tcPr>
          <w:p>
            <w:pPr>
              <w:pStyle w:val="0"/>
            </w:pPr>
            <w:r>
              <w:rPr>
                <w:sz w:val="20"/>
              </w:rPr>
            </w:r>
          </w:p>
        </w:tc>
      </w:tr>
      <w:tr>
        <w:tc>
          <w:tcPr>
            <w:tcW w:w="4082" w:type="dxa"/>
          </w:tcPr>
          <w:p>
            <w:pPr>
              <w:pStyle w:val="0"/>
            </w:pPr>
            <w:r>
              <w:rPr>
                <w:sz w:val="20"/>
              </w:rPr>
              <w:t xml:space="preserve">Улучшение значения более чем на одну десятую</w:t>
            </w:r>
          </w:p>
        </w:tc>
        <w:tc>
          <w:tcPr>
            <w:tcW w:w="3742" w:type="dxa"/>
          </w:tcPr>
          <w:p>
            <w:pPr>
              <w:pStyle w:val="0"/>
            </w:pPr>
            <w:r>
              <w:rPr>
                <w:sz w:val="20"/>
              </w:rPr>
              <w:t xml:space="preserve">улучшение значения более чем на 10%</w:t>
            </w:r>
          </w:p>
        </w:tc>
        <w:tc>
          <w:tcPr>
            <w:tcW w:w="1247" w:type="dxa"/>
          </w:tcPr>
          <w:p>
            <w:pPr>
              <w:pStyle w:val="0"/>
              <w:jc w:val="center"/>
            </w:pPr>
            <w:r>
              <w:rPr>
                <w:sz w:val="20"/>
              </w:rPr>
              <w:t xml:space="preserve">3</w:t>
            </w:r>
          </w:p>
        </w:tc>
      </w:tr>
      <w:tr>
        <w:tc>
          <w:tcPr>
            <w:tcW w:w="4082" w:type="dxa"/>
          </w:tcPr>
          <w:p>
            <w:pPr>
              <w:pStyle w:val="0"/>
            </w:pPr>
            <w:r>
              <w:rPr>
                <w:sz w:val="20"/>
              </w:rPr>
              <w:t xml:space="preserve">Улучшение значения в пределах одной десятой</w:t>
            </w:r>
          </w:p>
        </w:tc>
        <w:tc>
          <w:tcPr>
            <w:tcW w:w="3742" w:type="dxa"/>
          </w:tcPr>
          <w:p>
            <w:pPr>
              <w:pStyle w:val="0"/>
            </w:pPr>
            <w:r>
              <w:rPr>
                <w:sz w:val="20"/>
              </w:rPr>
              <w:t xml:space="preserve">улучшение значения в пределах 10%</w:t>
            </w:r>
          </w:p>
        </w:tc>
        <w:tc>
          <w:tcPr>
            <w:tcW w:w="1247" w:type="dxa"/>
          </w:tcPr>
          <w:p>
            <w:pPr>
              <w:pStyle w:val="0"/>
              <w:jc w:val="center"/>
            </w:pPr>
            <w:r>
              <w:rPr>
                <w:sz w:val="20"/>
              </w:rPr>
              <w:t xml:space="preserve">2</w:t>
            </w:r>
          </w:p>
        </w:tc>
      </w:tr>
      <w:tr>
        <w:tc>
          <w:tcPr>
            <w:tcW w:w="4082" w:type="dxa"/>
          </w:tcPr>
          <w:p>
            <w:pPr>
              <w:pStyle w:val="0"/>
            </w:pPr>
            <w:r>
              <w:rPr>
                <w:sz w:val="20"/>
              </w:rPr>
              <w:t xml:space="preserve">На уровне предыдущего года</w:t>
            </w:r>
          </w:p>
        </w:tc>
        <w:tc>
          <w:tcPr>
            <w:tcW w:w="3742" w:type="dxa"/>
          </w:tcPr>
          <w:p>
            <w:pPr>
              <w:pStyle w:val="0"/>
            </w:pPr>
            <w:r>
              <w:rPr>
                <w:sz w:val="20"/>
              </w:rPr>
              <w:t xml:space="preserve">на уровне предыдущего года</w:t>
            </w:r>
          </w:p>
        </w:tc>
        <w:tc>
          <w:tcPr>
            <w:tcW w:w="1247" w:type="dxa"/>
          </w:tcPr>
          <w:p>
            <w:pPr>
              <w:pStyle w:val="0"/>
              <w:jc w:val="center"/>
            </w:pPr>
            <w:r>
              <w:rPr>
                <w:sz w:val="20"/>
              </w:rPr>
              <w:t xml:space="preserve">1</w:t>
            </w:r>
          </w:p>
        </w:tc>
      </w:tr>
      <w:tr>
        <w:tc>
          <w:tcPr>
            <w:tcW w:w="4082" w:type="dxa"/>
          </w:tcPr>
          <w:p>
            <w:pPr>
              <w:pStyle w:val="0"/>
            </w:pPr>
            <w:r>
              <w:rPr>
                <w:sz w:val="20"/>
              </w:rPr>
              <w:t xml:space="preserve">Ухудшение значения</w:t>
            </w:r>
          </w:p>
        </w:tc>
        <w:tc>
          <w:tcPr>
            <w:tcW w:w="3742" w:type="dxa"/>
          </w:tcPr>
          <w:p>
            <w:pPr>
              <w:pStyle w:val="0"/>
            </w:pPr>
            <w:r>
              <w:rPr>
                <w:sz w:val="20"/>
              </w:rPr>
              <w:t xml:space="preserve">ухудшение значения</w:t>
            </w:r>
          </w:p>
        </w:tc>
        <w:tc>
          <w:tcPr>
            <w:tcW w:w="1247" w:type="dxa"/>
          </w:tcPr>
          <w:p>
            <w:pPr>
              <w:pStyle w:val="0"/>
              <w:jc w:val="center"/>
            </w:pPr>
            <w:r>
              <w:rPr>
                <w:sz w:val="20"/>
              </w:rPr>
              <w:t xml:space="preserve">0</w:t>
            </w:r>
          </w:p>
        </w:tc>
      </w:tr>
    </w:tbl>
    <w:p>
      <w:pPr>
        <w:pStyle w:val="0"/>
      </w:pPr>
      <w:r>
        <w:rPr>
          <w:sz w:val="20"/>
        </w:rPr>
      </w:r>
    </w:p>
    <w:p>
      <w:pPr>
        <w:pStyle w:val="0"/>
        <w:ind w:firstLine="540"/>
        <w:jc w:val="both"/>
      </w:pPr>
      <w:r>
        <w:rPr>
          <w:sz w:val="20"/>
        </w:rPr>
        <w:t xml:space="preserve">4) в случае если целевое значение показателя результативности и (или) эффективности равно нулю, а его фактическое значение больше нуля, то в отношении такого показателя применяется </w:t>
      </w:r>
      <w:hyperlink w:history="0" w:anchor="P165" w:tooltip="3) в случае когда фактическое значение выше (ниже) целевого значения ключевого показателя, характеризующегося достижением максимально (минимально) возможного состояния, более чем на 5% (для показателей, по которым установлены целевые значения в абсолютных значениях)/0,5 процентных пункта (для показателей, по которым установлены целевые значения в процентах), балльная оценка определяется исходя из их динамики по отношению к уровню предыдущего года по 3-балльной шкале:">
        <w:r>
          <w:rPr>
            <w:sz w:val="20"/>
            <w:color w:val="0000ff"/>
          </w:rPr>
          <w:t xml:space="preserve">подпункт 3</w:t>
        </w:r>
      </w:hyperlink>
      <w:r>
        <w:rPr>
          <w:sz w:val="20"/>
        </w:rPr>
        <w:t xml:space="preserve"> настоящего пункта. Если при этом значение показателя за предыдущий год также равно нулю, то такому показателю присваивается балльная оценка, равная нулю;</w:t>
      </w:r>
    </w:p>
    <w:p>
      <w:pPr>
        <w:pStyle w:val="0"/>
        <w:spacing w:before="200" w:line-rule="auto"/>
        <w:ind w:firstLine="540"/>
        <w:jc w:val="both"/>
      </w:pPr>
      <w:r>
        <w:rPr>
          <w:sz w:val="20"/>
        </w:rPr>
        <w:t xml:space="preserve">5) итоговые оценки результативности и эффективности контрольно-надзорной деятельности по видам регионального государственного контроля (надзора) характеризуют достижение целевых значений ключевых показателей и рассчитываются как среднее арифметическое значение балльных оценок таких показателей.</w:t>
      </w:r>
    </w:p>
    <w:p>
      <w:pPr>
        <w:pStyle w:val="0"/>
        <w:jc w:val="both"/>
      </w:pPr>
      <w:r>
        <w:rPr>
          <w:sz w:val="20"/>
        </w:rPr>
        <w:t xml:space="preserve">(п. 13 в ред. </w:t>
      </w:r>
      <w:hyperlink w:history="0" r:id="rId30"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29.04.2021 N 257-ПП)</w:t>
      </w:r>
    </w:p>
    <w:p>
      <w:pPr>
        <w:pStyle w:val="0"/>
        <w:spacing w:before="200" w:line-rule="auto"/>
        <w:ind w:firstLine="540"/>
        <w:jc w:val="both"/>
      </w:pPr>
      <w:r>
        <w:rPr>
          <w:sz w:val="20"/>
        </w:rPr>
        <w:t xml:space="preserve">13-1 - 13-2. Утратили силу. - </w:t>
      </w:r>
      <w:hyperlink w:history="0" r:id="rId31"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29.04.2021 N 257-ПП.</w:t>
      </w:r>
    </w:p>
    <w:bookmarkStart w:id="190" w:name="P190"/>
    <w:bookmarkEnd w:id="190"/>
    <w:p>
      <w:pPr>
        <w:pStyle w:val="0"/>
        <w:spacing w:before="200" w:line-rule="auto"/>
        <w:ind w:firstLine="540"/>
        <w:jc w:val="both"/>
      </w:pPr>
      <w:r>
        <w:rPr>
          <w:sz w:val="20"/>
        </w:rPr>
        <w:t xml:space="preserve">13-1. В случае отклонения фактического значения ключевого показателя результативности и эффективности контрольно-надзорной деятельности ниже или выше целевого значения более чем на 30% исполнительному органу государственной власти Свердловской области, реализующему контрольные (надзорные) функции, необходимо рассмотреть целесообразность изменения данного показателя и (или) разработать план мероприятий по достижению установленного целевого значения показателя и направить соответствующее обоснование в Министерство экономики и территориального развития Свердловской области.</w:t>
      </w:r>
    </w:p>
    <w:p>
      <w:pPr>
        <w:pStyle w:val="0"/>
        <w:jc w:val="both"/>
      </w:pPr>
      <w:r>
        <w:rPr>
          <w:sz w:val="20"/>
        </w:rPr>
        <w:t xml:space="preserve">(п. 13-1 введен </w:t>
      </w:r>
      <w:hyperlink w:history="0" r:id="rId32"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29.12.2021 N 994-ПП)</w:t>
      </w:r>
    </w:p>
    <w:p>
      <w:pPr>
        <w:pStyle w:val="0"/>
        <w:spacing w:before="200" w:line-rule="auto"/>
        <w:ind w:firstLine="540"/>
        <w:jc w:val="both"/>
      </w:pPr>
      <w:r>
        <w:rPr>
          <w:sz w:val="20"/>
        </w:rPr>
        <w:t xml:space="preserve">13-2. Для внесения изменений, указанных в </w:t>
      </w:r>
      <w:hyperlink w:history="0" w:anchor="P190" w:tooltip="13-1. В случае отклонения фактического значения ключевого показателя результативности и эффективности контрольно-надзорной деятельности ниже или выше целевого значения более чем на 30% исполнительному органу государственной власти Свердловской области, реализующему контрольные (надзорные) функции, необходимо рассмотреть целесообразность изменения данного показателя и (или) разработать план мероприятий по достижению установленного целевого значения показателя и направить соответствующее обоснование в Мини...">
        <w:r>
          <w:rPr>
            <w:sz w:val="20"/>
            <w:color w:val="0000ff"/>
          </w:rPr>
          <w:t xml:space="preserve">пункте 13-1</w:t>
        </w:r>
      </w:hyperlink>
      <w:r>
        <w:rPr>
          <w:sz w:val="20"/>
        </w:rPr>
        <w:t xml:space="preserve"> настоящего порядка, исполнительному органу государственной власти Свердловской области, реализующему контрольные (надзорные) функции, необходимо организовать их обсуждение на общественном совете при исполнительном органе государственной власти Свердловской области.</w:t>
      </w:r>
    </w:p>
    <w:p>
      <w:pPr>
        <w:pStyle w:val="0"/>
        <w:jc w:val="both"/>
      </w:pPr>
      <w:r>
        <w:rPr>
          <w:sz w:val="20"/>
        </w:rPr>
        <w:t xml:space="preserve">(п. 13-2 введен </w:t>
      </w:r>
      <w:hyperlink w:history="0" r:id="rId33"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29.12.2021 N 994-ПП)</w:t>
      </w:r>
    </w:p>
    <w:p>
      <w:pPr>
        <w:pStyle w:val="0"/>
        <w:spacing w:before="200" w:line-rule="auto"/>
        <w:ind w:firstLine="540"/>
        <w:jc w:val="both"/>
      </w:pPr>
      <w:r>
        <w:rPr>
          <w:sz w:val="20"/>
        </w:rPr>
        <w:t xml:space="preserve">14. В зависимости от итоговых оценок органы контроля (надзора) делятся на следующие группы:</w:t>
      </w:r>
    </w:p>
    <w:p>
      <w:pPr>
        <w:pStyle w:val="0"/>
        <w:spacing w:before="200" w:line-rule="auto"/>
        <w:ind w:firstLine="540"/>
        <w:jc w:val="both"/>
      </w:pPr>
      <w:r>
        <w:rPr>
          <w:sz w:val="20"/>
        </w:rPr>
        <w:t xml:space="preserve">1) группа с высокой результативностью и эффективностью - более 4 баллов включительно;</w:t>
      </w:r>
    </w:p>
    <w:p>
      <w:pPr>
        <w:pStyle w:val="0"/>
        <w:spacing w:before="200" w:line-rule="auto"/>
        <w:ind w:firstLine="540"/>
        <w:jc w:val="both"/>
      </w:pPr>
      <w:r>
        <w:rPr>
          <w:sz w:val="20"/>
        </w:rPr>
        <w:t xml:space="preserve">2) группа со средней результативностью и эффективностью - от 2 до 4 баллов;</w:t>
      </w:r>
    </w:p>
    <w:p>
      <w:pPr>
        <w:pStyle w:val="0"/>
        <w:spacing w:before="200" w:line-rule="auto"/>
        <w:ind w:firstLine="540"/>
        <w:jc w:val="both"/>
      </w:pPr>
      <w:r>
        <w:rPr>
          <w:sz w:val="20"/>
        </w:rPr>
        <w:t xml:space="preserve">3) группа с низкой результативностью и эффективностью - до 2 баллов включительно.</w:t>
      </w:r>
    </w:p>
    <w:p>
      <w:pPr>
        <w:pStyle w:val="0"/>
        <w:jc w:val="both"/>
      </w:pPr>
      <w:r>
        <w:rPr>
          <w:sz w:val="20"/>
        </w:rPr>
        <w:t xml:space="preserve">(п. 14 в ред. </w:t>
      </w:r>
      <w:hyperlink w:history="0" r:id="rId34"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29.04.2021 N 257-ПП)</w:t>
      </w:r>
    </w:p>
    <w:p>
      <w:pPr>
        <w:pStyle w:val="0"/>
        <w:spacing w:before="200" w:line-rule="auto"/>
        <w:ind w:firstLine="540"/>
        <w:jc w:val="both"/>
      </w:pPr>
      <w:r>
        <w:rPr>
          <w:sz w:val="20"/>
        </w:rPr>
        <w:t xml:space="preserve">15. Министерство экономики и территориального развития Свердловской области на официальном сайте "Административная реформа в Свердловской области" в информационно-телекоммуникационной сети "Интернет" ежегодно не позднее 1 августа года, следующего за отчетным годом, размещает результаты рейтинга результативности и эффективности деятельности исполнительных органов государственной власти Свердловской области, реализующих контрольные (надзорные) функции.</w:t>
      </w:r>
    </w:p>
    <w:p>
      <w:pPr>
        <w:pStyle w:val="0"/>
        <w:spacing w:before="200" w:line-rule="auto"/>
        <w:ind w:firstLine="540"/>
        <w:jc w:val="both"/>
      </w:pPr>
      <w:r>
        <w:rPr>
          <w:sz w:val="20"/>
        </w:rPr>
        <w:t xml:space="preserve">16. Рейтинг результативности и эффективности деятельности исполнительных органов государственной власти Свердловской области, реализующих контрольные (надзорные) функции, Министерством экономики и территориального развития Свердловской области представляется Губернатору Свердловской области ежегодно в срок до 1 августа года, следующего за отчетным годом, начиная с 2019 года.</w:t>
      </w:r>
    </w:p>
    <w:p>
      <w:pPr>
        <w:pStyle w:val="0"/>
      </w:pPr>
      <w:r>
        <w:rPr>
          <w:sz w:val="20"/>
        </w:rPr>
      </w:r>
    </w:p>
    <w:p>
      <w:pPr>
        <w:pStyle w:val="2"/>
        <w:outlineLvl w:val="1"/>
        <w:jc w:val="center"/>
      </w:pPr>
      <w:r>
        <w:rPr>
          <w:sz w:val="20"/>
        </w:rPr>
        <w:t xml:space="preserve">Глава 4. ПОРЯДОК ОБЕСПЕЧЕНИЯ ДОСТУПНОСТИ КЛЮЧЕВЫХ</w:t>
      </w:r>
    </w:p>
    <w:p>
      <w:pPr>
        <w:pStyle w:val="2"/>
        <w:jc w:val="center"/>
      </w:pPr>
      <w:r>
        <w:rPr>
          <w:sz w:val="20"/>
        </w:rPr>
        <w:t xml:space="preserve">ПОКАЗАТЕЛЕЙ ОЦЕНКИ РЕЗУЛЬТАТИВНОСТИ И ЭФФЕКТИВНОСТИ</w:t>
      </w:r>
    </w:p>
    <w:p>
      <w:pPr>
        <w:pStyle w:val="2"/>
        <w:jc w:val="center"/>
      </w:pPr>
      <w:r>
        <w:rPr>
          <w:sz w:val="20"/>
        </w:rPr>
        <w:t xml:space="preserve">КОНТРОЛЬНО-НАДЗОРНОЙ ДЕЯТЕЛЬНОСТИ В СВЕРДЛОВСКОЙ ОБЛАСТИ</w:t>
      </w:r>
    </w:p>
    <w:p>
      <w:pPr>
        <w:pStyle w:val="2"/>
        <w:jc w:val="center"/>
      </w:pPr>
      <w:r>
        <w:rPr>
          <w:sz w:val="20"/>
        </w:rPr>
        <w:t xml:space="preserve">И ПОРЯДОК КОНТРОЛЯ ЗА ИХ ДОСТИЖЕНИЕМ</w:t>
      </w:r>
    </w:p>
    <w:p>
      <w:pPr>
        <w:pStyle w:val="0"/>
      </w:pPr>
      <w:r>
        <w:rPr>
          <w:sz w:val="20"/>
        </w:rPr>
      </w:r>
    </w:p>
    <w:p>
      <w:pPr>
        <w:pStyle w:val="0"/>
        <w:ind w:firstLine="540"/>
        <w:jc w:val="both"/>
      </w:pPr>
      <w:r>
        <w:rPr>
          <w:sz w:val="20"/>
        </w:rPr>
        <w:t xml:space="preserve">17. Исполнительные органы государственной власти Свердловской области, реализующие контрольные (надзорные) функции, обеспечивают:</w:t>
      </w:r>
    </w:p>
    <w:p>
      <w:pPr>
        <w:pStyle w:val="0"/>
        <w:spacing w:before="200" w:line-rule="auto"/>
        <w:ind w:firstLine="540"/>
        <w:jc w:val="both"/>
      </w:pPr>
      <w:r>
        <w:rPr>
          <w:sz w:val="20"/>
        </w:rPr>
        <w:t xml:space="preserve">1) общий доступ к информации о целевых и фактических значениях ключевых показателей результативности и эффективности контрольно-надзорной деятельности путем ее размещения на своих официальных сайтах в информационно-телекоммуникационной сети "Интернет";</w:t>
      </w:r>
    </w:p>
    <w:p>
      <w:pPr>
        <w:pStyle w:val="0"/>
        <w:spacing w:before="200" w:line-rule="auto"/>
        <w:ind w:firstLine="540"/>
        <w:jc w:val="both"/>
      </w:pPr>
      <w:r>
        <w:rPr>
          <w:sz w:val="20"/>
        </w:rPr>
        <w:t xml:space="preserve">2) организацию систематического сбора данных статистического наблюдения и сведений для расчета ключевых показателей результативности и эффективности контрольно-надзорной деятельности;</w:t>
      </w:r>
    </w:p>
    <w:p>
      <w:pPr>
        <w:pStyle w:val="0"/>
        <w:spacing w:before="200" w:line-rule="auto"/>
        <w:ind w:firstLine="540"/>
        <w:jc w:val="both"/>
      </w:pPr>
      <w:r>
        <w:rPr>
          <w:sz w:val="20"/>
        </w:rPr>
        <w:t xml:space="preserve">3) закрепление ключевых показателей результативности и эффективности контрольно-надзорной деятельности в документах стратегического планирования;</w:t>
      </w:r>
    </w:p>
    <w:p>
      <w:pPr>
        <w:pStyle w:val="0"/>
        <w:spacing w:before="200" w:line-rule="auto"/>
        <w:ind w:firstLine="540"/>
        <w:jc w:val="both"/>
      </w:pPr>
      <w:r>
        <w:rPr>
          <w:sz w:val="20"/>
        </w:rPr>
        <w:t xml:space="preserve">4) применение системы стимулирования сотрудников исполнительных органов государственной власти Свердловской области, реализующих контрольные (надзорные) функции, в зависимости от достижения должностными лицами, участвующими в осуществлении государственного контроля и надзора, показателей оценки результативности и эффективности контрольно-надзорной деятельности;</w:t>
      </w:r>
    </w:p>
    <w:p>
      <w:pPr>
        <w:pStyle w:val="0"/>
        <w:spacing w:before="200" w:line-rule="auto"/>
        <w:ind w:firstLine="540"/>
        <w:jc w:val="both"/>
      </w:pPr>
      <w:r>
        <w:rPr>
          <w:sz w:val="20"/>
        </w:rPr>
        <w:t xml:space="preserve">5) формирование отчетов по ключевым показателям результативности и эффективности контрольно-надзорной деятельности, их размещение в открытом доступе, специализированных информационных системах;</w:t>
      </w:r>
    </w:p>
    <w:p>
      <w:pPr>
        <w:pStyle w:val="0"/>
        <w:spacing w:before="200" w:line-rule="auto"/>
        <w:ind w:firstLine="540"/>
        <w:jc w:val="both"/>
      </w:pPr>
      <w:r>
        <w:rPr>
          <w:sz w:val="20"/>
        </w:rPr>
        <w:t xml:space="preserve">6) участие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pPr>
        <w:pStyle w:val="0"/>
        <w:spacing w:before="200" w:line-rule="auto"/>
        <w:ind w:firstLine="540"/>
        <w:jc w:val="both"/>
      </w:pPr>
      <w:r>
        <w:rPr>
          <w:sz w:val="20"/>
        </w:rPr>
        <w:t xml:space="preserve">18. В результате реализации всех этапов внедрения системы оценки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(методике)</w:t>
      </w:r>
    </w:p>
    <w:p>
      <w:pPr>
        <w:pStyle w:val="0"/>
        <w:jc w:val="right"/>
      </w:pPr>
      <w:r>
        <w:rPr>
          <w:sz w:val="20"/>
        </w:rPr>
        <w:t xml:space="preserve">оценки результативности и</w:t>
      </w:r>
    </w:p>
    <w:p>
      <w:pPr>
        <w:pStyle w:val="0"/>
        <w:jc w:val="right"/>
      </w:pPr>
      <w:r>
        <w:rPr>
          <w:sz w:val="20"/>
        </w:rPr>
        <w:t xml:space="preserve">эффективности контрольно-надзорной</w:t>
      </w:r>
    </w:p>
    <w:p>
      <w:pPr>
        <w:pStyle w:val="0"/>
        <w:jc w:val="right"/>
      </w:pPr>
      <w:r>
        <w:rPr>
          <w:sz w:val="20"/>
        </w:rPr>
        <w:t xml:space="preserve">деятельности в 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228" w:name="P228"/>
    <w:bookmarkEnd w:id="228"/>
    <w:p>
      <w:pPr>
        <w:pStyle w:val="0"/>
        <w:jc w:val="center"/>
      </w:pPr>
      <w:r>
        <w:rPr>
          <w:sz w:val="20"/>
        </w:rPr>
        <w:t xml:space="preserve">ИНФОРМАЦИЯ</w:t>
      </w:r>
    </w:p>
    <w:p>
      <w:pPr>
        <w:pStyle w:val="0"/>
        <w:jc w:val="center"/>
      </w:pPr>
      <w:r>
        <w:rPr>
          <w:sz w:val="20"/>
        </w:rPr>
        <w:t xml:space="preserve">о значениях ключевых показателей результативности</w:t>
      </w:r>
    </w:p>
    <w:p>
      <w:pPr>
        <w:pStyle w:val="0"/>
        <w:jc w:val="center"/>
      </w:pPr>
      <w:r>
        <w:rPr>
          <w:sz w:val="20"/>
        </w:rPr>
        <w:t xml:space="preserve">и эффективности контрольно-надзорной деятельности</w:t>
      </w:r>
    </w:p>
    <w:p>
      <w:pPr>
        <w:pStyle w:val="0"/>
        <w:jc w:val="center"/>
      </w:pPr>
      <w:r>
        <w:rPr>
          <w:sz w:val="20"/>
        </w:rPr>
        <w:t xml:space="preserve">за ____ год</w:t>
      </w:r>
    </w:p>
    <w:p>
      <w:pPr>
        <w:pStyle w:val="0"/>
        <w:jc w:val="center"/>
      </w:pPr>
      <w:r>
        <w:rPr>
          <w:sz w:val="20"/>
        </w:rPr>
        <w:t xml:space="preserve">_________________________________________________</w:t>
      </w:r>
    </w:p>
    <w:p>
      <w:pPr>
        <w:pStyle w:val="0"/>
        <w:jc w:val="center"/>
      </w:pPr>
      <w:r>
        <w:rPr>
          <w:sz w:val="20"/>
        </w:rPr>
        <w:t xml:space="preserve">(наименование исполнительного органа</w:t>
      </w:r>
    </w:p>
    <w:p>
      <w:pPr>
        <w:pStyle w:val="0"/>
        <w:jc w:val="center"/>
      </w:pPr>
      <w:r>
        <w:rPr>
          <w:sz w:val="20"/>
        </w:rPr>
        <w:t xml:space="preserve">государственной власти Свердловской области)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871"/>
        <w:gridCol w:w="1304"/>
        <w:gridCol w:w="1191"/>
        <w:gridCol w:w="1191"/>
        <w:gridCol w:w="1531"/>
        <w:gridCol w:w="1134"/>
        <w:gridCol w:w="1644"/>
      </w:tblGrid>
      <w:tr>
        <w:tc>
          <w:tcPr>
            <w:tcW w:w="907" w:type="dxa"/>
            <w:vMerge w:val="restart"/>
          </w:tcPr>
          <w:p>
            <w:pPr>
              <w:pStyle w:val="0"/>
              <w:jc w:val="center"/>
            </w:pPr>
            <w:r>
              <w:rPr>
                <w:sz w:val="20"/>
              </w:rPr>
              <w:t xml:space="preserve">Номер строки</w:t>
            </w:r>
          </w:p>
        </w:tc>
        <w:tc>
          <w:tcPr>
            <w:tcW w:w="1871"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Целевое значение</w:t>
            </w:r>
          </w:p>
        </w:tc>
        <w:tc>
          <w:tcPr>
            <w:gridSpan w:val="2"/>
            <w:tcW w:w="2722" w:type="dxa"/>
          </w:tcPr>
          <w:p>
            <w:pPr>
              <w:pStyle w:val="0"/>
              <w:jc w:val="center"/>
            </w:pPr>
            <w:r>
              <w:rPr>
                <w:sz w:val="20"/>
              </w:rPr>
              <w:t xml:space="preserve">Фактическое значение</w:t>
            </w:r>
          </w:p>
        </w:tc>
        <w:tc>
          <w:tcPr>
            <w:tcW w:w="1134" w:type="dxa"/>
            <w:vMerge w:val="restart"/>
          </w:tcPr>
          <w:p>
            <w:pPr>
              <w:pStyle w:val="0"/>
              <w:jc w:val="center"/>
            </w:pPr>
            <w:r>
              <w:rPr>
                <w:sz w:val="20"/>
              </w:rPr>
              <w:t xml:space="preserve">Балльная оценка</w:t>
            </w:r>
          </w:p>
        </w:tc>
        <w:tc>
          <w:tcPr>
            <w:tcW w:w="1644" w:type="dxa"/>
            <w:vMerge w:val="restart"/>
          </w:tcPr>
          <w:p>
            <w:pPr>
              <w:pStyle w:val="0"/>
              <w:jc w:val="center"/>
            </w:pPr>
            <w:r>
              <w:rPr>
                <w:sz w:val="20"/>
              </w:rPr>
              <w:t xml:space="preserve">Справочная информация</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отчетный год</w:t>
            </w:r>
          </w:p>
        </w:tc>
        <w:tc>
          <w:tcPr>
            <w:tcW w:w="1531" w:type="dxa"/>
          </w:tcPr>
          <w:p>
            <w:pPr>
              <w:pStyle w:val="0"/>
              <w:jc w:val="center"/>
            </w:pPr>
            <w:r>
              <w:rPr>
                <w:sz w:val="20"/>
              </w:rPr>
              <w:t xml:space="preserve">предыдущий год</w:t>
            </w:r>
          </w:p>
        </w:tc>
        <w:tc>
          <w:tcPr>
            <w:vMerge w:val="continue"/>
          </w:tcPr>
          <w:p/>
        </w:tc>
        <w:tc>
          <w:tcPr>
            <w:vMerge w:val="continue"/>
          </w:tcPr>
          <w:p/>
        </w:tc>
      </w:tr>
      <w:tr>
        <w:tc>
          <w:tcPr>
            <w:gridSpan w:val="8"/>
            <w:tcW w:w="10773" w:type="dxa"/>
          </w:tcPr>
          <w:p>
            <w:pPr>
              <w:pStyle w:val="0"/>
              <w:jc w:val="center"/>
            </w:pPr>
            <w:r>
              <w:rPr>
                <w:sz w:val="20"/>
              </w:rPr>
              <w:t xml:space="preserve">__________________________________________________</w:t>
            </w:r>
          </w:p>
          <w:p>
            <w:pPr>
              <w:pStyle w:val="0"/>
              <w:jc w:val="center"/>
            </w:pPr>
            <w:r>
              <w:rPr>
                <w:sz w:val="20"/>
              </w:rPr>
              <w:t xml:space="preserve">(вид регионального государственного контроля (надзора))</w:t>
            </w:r>
          </w:p>
        </w:tc>
      </w:tr>
      <w:tr>
        <w:tc>
          <w:tcPr>
            <w:gridSpan w:val="8"/>
            <w:tcW w:w="10773" w:type="dxa"/>
          </w:tcPr>
          <w:p>
            <w:pPr>
              <w:pStyle w:val="0"/>
              <w:jc w:val="center"/>
            </w:pPr>
            <w:r>
              <w:rPr>
                <w:sz w:val="20"/>
              </w:rPr>
              <w:t xml:space="preserve">Ключевые показатели (показатели группы "А")</w:t>
            </w:r>
          </w:p>
        </w:tc>
      </w:tr>
      <w:tr>
        <w:tc>
          <w:tcPr>
            <w:tcW w:w="907" w:type="dxa"/>
          </w:tcPr>
          <w:p>
            <w:pPr>
              <w:pStyle w:val="0"/>
              <w:jc w:val="center"/>
            </w:pPr>
            <w:r>
              <w:rPr>
                <w:sz w:val="20"/>
              </w:rPr>
              <w:t xml:space="preserve">1.</w:t>
            </w:r>
          </w:p>
        </w:tc>
        <w:tc>
          <w:tcPr>
            <w:tcW w:w="187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644" w:type="dxa"/>
          </w:tcPr>
          <w:p>
            <w:pPr>
              <w:pStyle w:val="0"/>
            </w:pPr>
            <w:r>
              <w:rPr>
                <w:sz w:val="20"/>
              </w:rPr>
            </w:r>
          </w:p>
        </w:tc>
      </w:tr>
      <w:tr>
        <w:tc>
          <w:tcPr>
            <w:tcW w:w="907" w:type="dxa"/>
          </w:tcPr>
          <w:p>
            <w:pPr>
              <w:pStyle w:val="0"/>
              <w:jc w:val="center"/>
            </w:pPr>
            <w:r>
              <w:rPr>
                <w:sz w:val="20"/>
              </w:rPr>
              <w:t xml:space="preserve">2.</w:t>
            </w:r>
          </w:p>
        </w:tc>
        <w:tc>
          <w:tcPr>
            <w:tcW w:w="187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644" w:type="dxa"/>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29 декабря 2017 г. N 1033-ПП</w:t>
      </w:r>
    </w:p>
    <w:p>
      <w:pPr>
        <w:pStyle w:val="0"/>
      </w:pPr>
      <w:r>
        <w:rPr>
          <w:sz w:val="20"/>
        </w:rPr>
      </w:r>
    </w:p>
    <w:bookmarkStart w:id="274" w:name="P274"/>
    <w:bookmarkEnd w:id="274"/>
    <w:p>
      <w:pPr>
        <w:pStyle w:val="2"/>
        <w:jc w:val="center"/>
      </w:pPr>
      <w:r>
        <w:rPr>
          <w:sz w:val="20"/>
        </w:rPr>
        <w:t xml:space="preserve">ПЕРЕЧЕНЬ</w:t>
      </w:r>
    </w:p>
    <w:p>
      <w:pPr>
        <w:pStyle w:val="2"/>
        <w:jc w:val="center"/>
      </w:pPr>
      <w:r>
        <w:rPr>
          <w:sz w:val="20"/>
        </w:rPr>
        <w:t xml:space="preserve">ПОКАЗАТЕЛЕЙ ОЦЕНКИ РЕЗУЛЬТАТИВНОСТИ И ЭФФЕКТИВНОСТИ</w:t>
      </w:r>
    </w:p>
    <w:p>
      <w:pPr>
        <w:pStyle w:val="2"/>
        <w:jc w:val="center"/>
      </w:pPr>
      <w:r>
        <w:rPr>
          <w:sz w:val="20"/>
        </w:rPr>
        <w:t xml:space="preserve">КОНТРОЛЬНО-НАДЗОРНОЙ ДЕЯТЕЛЬНОСТИ В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17.10.2018 </w:t>
            </w:r>
            <w:hyperlink w:history="0" r:id="rId37" w:tooltip="Постановление Правительства Свердловской области от 17.10.2018 N 684-ПП &quot;О внесении изменений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рдловской области от 29.12.2017 N 1033-ПП&quot; {КонсультантПлюс}">
              <w:r>
                <w:rPr>
                  <w:sz w:val="20"/>
                  <w:color w:val="0000ff"/>
                </w:rPr>
                <w:t xml:space="preserve">N 684-ПП</w:t>
              </w:r>
            </w:hyperlink>
            <w:r>
              <w:rPr>
                <w:sz w:val="20"/>
                <w:color w:val="392c69"/>
              </w:rPr>
              <w:t xml:space="preserve">, от 06.12.2018 </w:t>
            </w:r>
            <w:hyperlink w:history="0" r:id="rId38" w:tooltip="Постановление Правительства Свердловской области от 06.12.2018 N 881-ПП (ред. от 16.07.2019) &quot;О региональном государственном контроле (надзоре) в области регулируемых государством цен (тарифов)&quot; (вместе с &quot;Порядком организации и осуществления регионального государственного контроля (надзора) в области регулируемых государством цен (тарифов)&quot;) ------------ Утратил силу или отменен {КонсультантПлюс}">
              <w:r>
                <w:rPr>
                  <w:sz w:val="20"/>
                  <w:color w:val="0000ff"/>
                </w:rPr>
                <w:t xml:space="preserve">N 881-ПП</w:t>
              </w:r>
            </w:hyperlink>
            <w:r>
              <w:rPr>
                <w:sz w:val="20"/>
                <w:color w:val="392c69"/>
              </w:rPr>
              <w:t xml:space="preserve">, от 23.01.2020 </w:t>
            </w:r>
            <w:hyperlink w:history="0" r:id="rId39"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26-ПП</w:t>
              </w:r>
            </w:hyperlink>
            <w:r>
              <w:rPr>
                <w:sz w:val="20"/>
                <w:color w:val="392c69"/>
              </w:rPr>
              <w:t xml:space="preserve">,</w:t>
            </w:r>
          </w:p>
          <w:p>
            <w:pPr>
              <w:pStyle w:val="0"/>
              <w:jc w:val="center"/>
            </w:pPr>
            <w:r>
              <w:rPr>
                <w:sz w:val="20"/>
                <w:color w:val="392c69"/>
              </w:rPr>
              <w:t xml:space="preserve">от 21.05.2020 </w:t>
            </w:r>
            <w:hyperlink w:history="0" r:id="rId40"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322-ПП</w:t>
              </w:r>
            </w:hyperlink>
            <w:r>
              <w:rPr>
                <w:sz w:val="20"/>
                <w:color w:val="392c69"/>
              </w:rPr>
              <w:t xml:space="preserve">, от 29.04.2021 </w:t>
            </w:r>
            <w:hyperlink w:history="0" r:id="rId41"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257-ПП</w:t>
              </w:r>
            </w:hyperlink>
            <w:r>
              <w:rPr>
                <w:sz w:val="20"/>
                <w:color w:val="392c69"/>
              </w:rPr>
              <w:t xml:space="preserve">, от 29.12.2021 </w:t>
            </w:r>
            <w:hyperlink w:history="0" r:id="rId42"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N 994-ПП</w:t>
              </w:r>
            </w:hyperlink>
            <w:r>
              <w:rPr>
                <w:sz w:val="20"/>
                <w:color w:val="392c69"/>
              </w:rPr>
              <w:t xml:space="preserve">,</w:t>
            </w:r>
          </w:p>
          <w:p>
            <w:pPr>
              <w:pStyle w:val="0"/>
              <w:jc w:val="center"/>
            </w:pPr>
            <w:r>
              <w:rPr>
                <w:sz w:val="20"/>
                <w:color w:val="392c69"/>
              </w:rPr>
              <w:t xml:space="preserve">от 15.12.2022 </w:t>
            </w:r>
            <w:hyperlink w:history="0" r:id="rId43"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рдловской области от 29.12.2017 N 1033-ПП&quot; {КонсультантПлюс}">
              <w:r>
                <w:rPr>
                  <w:sz w:val="20"/>
                  <w:color w:val="0000ff"/>
                </w:rPr>
                <w:t xml:space="preserve">N 865-ПП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Раздел 1. КЛЮЧЕВЫЕ ПОКАЗАТЕЛИ РЕЗУЛЬТАТИВНОСТИ ГРУППЫ "А",</w:t>
      </w:r>
    </w:p>
    <w:p>
      <w:pPr>
        <w:pStyle w:val="2"/>
        <w:jc w:val="center"/>
      </w:pPr>
      <w:r>
        <w:rPr>
          <w:sz w:val="20"/>
        </w:rPr>
        <w:t xml:space="preserve">ОТРАЖАЮЩИЕ УРОВЕНЬ БЕЗОПАСНОСТИ ОХРАНЯЕМЫХ ЗАКОНОМ</w:t>
      </w:r>
    </w:p>
    <w:p>
      <w:pPr>
        <w:pStyle w:val="2"/>
        <w:jc w:val="center"/>
      </w:pPr>
      <w:r>
        <w:rPr>
          <w:sz w:val="20"/>
        </w:rPr>
        <w:t xml:space="preserve">ЦЕННОСТЕЙ, ВЫРАЖАЮЩИЙСЯ В МИНИМИЗАЦИИ ПРИЧИНЕНИЯ</w:t>
      </w:r>
    </w:p>
    <w:p>
      <w:pPr>
        <w:pStyle w:val="2"/>
        <w:jc w:val="center"/>
      </w:pPr>
      <w:r>
        <w:rPr>
          <w:sz w:val="20"/>
        </w:rPr>
        <w:t xml:space="preserve">ИМ ВРЕДА (УЩЕРБА)</w:t>
      </w:r>
    </w:p>
    <w:p>
      <w:pPr>
        <w:pStyle w:val="0"/>
      </w:pPr>
      <w:r>
        <w:rPr>
          <w:sz w:val="20"/>
        </w:rPr>
      </w:r>
    </w:p>
    <w:p>
      <w:pPr>
        <w:pStyle w:val="0"/>
        <w:outlineLvl w:val="2"/>
        <w:jc w:val="right"/>
      </w:pPr>
      <w:r>
        <w:rPr>
          <w:sz w:val="20"/>
        </w:rPr>
        <w:t xml:space="preserve">Таблица 1</w:t>
      </w:r>
    </w:p>
    <w:p>
      <w:pPr>
        <w:pStyle w:val="0"/>
        <w:jc w:val="center"/>
      </w:pPr>
      <w:r>
        <w:rPr>
          <w:sz w:val="20"/>
        </w:rPr>
        <w:t xml:space="preserve">(в ред. </w:t>
      </w:r>
      <w:hyperlink w:history="0" r:id="rId44"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29.12.2021 N 994-ПП)</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04"/>
        <w:gridCol w:w="3061"/>
        <w:gridCol w:w="3572"/>
        <w:gridCol w:w="1361"/>
        <w:gridCol w:w="1361"/>
        <w:gridCol w:w="1361"/>
        <w:gridCol w:w="1361"/>
        <w:gridCol w:w="1361"/>
        <w:gridCol w:w="1361"/>
        <w:gridCol w:w="1361"/>
        <w:gridCol w:w="1361"/>
      </w:tblGrid>
      <w:tr>
        <w:tc>
          <w:tcPr>
            <w:tcW w:w="907" w:type="dxa"/>
          </w:tcPr>
          <w:p>
            <w:pPr>
              <w:pStyle w:val="0"/>
              <w:jc w:val="center"/>
            </w:pPr>
            <w:r>
              <w:rPr>
                <w:sz w:val="20"/>
              </w:rPr>
              <w:t xml:space="preserve">Номер строки</w:t>
            </w:r>
          </w:p>
        </w:tc>
        <w:tc>
          <w:tcPr>
            <w:tcW w:w="1304" w:type="dxa"/>
          </w:tcPr>
          <w:p>
            <w:pPr>
              <w:pStyle w:val="0"/>
              <w:jc w:val="center"/>
            </w:pPr>
            <w:r>
              <w:rPr>
                <w:sz w:val="20"/>
              </w:rPr>
              <w:t xml:space="preserve">Номер (индекс) показателя</w:t>
            </w:r>
          </w:p>
        </w:tc>
        <w:tc>
          <w:tcPr>
            <w:tcW w:w="3061" w:type="dxa"/>
          </w:tcPr>
          <w:p>
            <w:pPr>
              <w:pStyle w:val="0"/>
              <w:jc w:val="center"/>
            </w:pPr>
            <w:r>
              <w:rPr>
                <w:sz w:val="20"/>
              </w:rPr>
              <w:t xml:space="preserve">Наименование ключевого показателя</w:t>
            </w:r>
          </w:p>
        </w:tc>
        <w:tc>
          <w:tcPr>
            <w:tcW w:w="3572" w:type="dxa"/>
          </w:tcPr>
          <w:p>
            <w:pPr>
              <w:pStyle w:val="0"/>
              <w:jc w:val="center"/>
            </w:pPr>
            <w:r>
              <w:rPr>
                <w:sz w:val="20"/>
              </w:rPr>
              <w:t xml:space="preserve">Методика расчета/источник информации</w:t>
            </w:r>
          </w:p>
        </w:tc>
        <w:tc>
          <w:tcPr>
            <w:tcW w:w="1361" w:type="dxa"/>
          </w:tcPr>
          <w:p>
            <w:pPr>
              <w:pStyle w:val="0"/>
              <w:jc w:val="center"/>
            </w:pPr>
            <w:r>
              <w:rPr>
                <w:sz w:val="20"/>
              </w:rPr>
              <w:t xml:space="preserve">2018 год</w:t>
            </w:r>
          </w:p>
        </w:tc>
        <w:tc>
          <w:tcPr>
            <w:tcW w:w="1361" w:type="dxa"/>
          </w:tcPr>
          <w:p>
            <w:pPr>
              <w:pStyle w:val="0"/>
              <w:jc w:val="center"/>
            </w:pPr>
            <w:r>
              <w:rPr>
                <w:sz w:val="20"/>
              </w:rPr>
              <w:t xml:space="preserve">2019 год</w:t>
            </w:r>
          </w:p>
        </w:tc>
        <w:tc>
          <w:tcPr>
            <w:tcW w:w="1361" w:type="dxa"/>
          </w:tcPr>
          <w:p>
            <w:pPr>
              <w:pStyle w:val="0"/>
              <w:jc w:val="center"/>
            </w:pPr>
            <w:r>
              <w:rPr>
                <w:sz w:val="20"/>
              </w:rPr>
              <w:t xml:space="preserve">2020 год</w:t>
            </w:r>
          </w:p>
        </w:tc>
        <w:tc>
          <w:tcPr>
            <w:tcW w:w="1361" w:type="dxa"/>
          </w:tcPr>
          <w:p>
            <w:pPr>
              <w:pStyle w:val="0"/>
              <w:jc w:val="center"/>
            </w:pPr>
            <w:r>
              <w:rPr>
                <w:sz w:val="20"/>
              </w:rPr>
              <w:t xml:space="preserve">2021 год</w:t>
            </w:r>
          </w:p>
        </w:tc>
        <w:tc>
          <w:tcPr>
            <w:tcW w:w="1361" w:type="dxa"/>
          </w:tcPr>
          <w:p>
            <w:pPr>
              <w:pStyle w:val="0"/>
              <w:jc w:val="center"/>
            </w:pPr>
            <w:r>
              <w:rPr>
                <w:sz w:val="20"/>
              </w:rPr>
              <w:t xml:space="preserve">2022 год</w:t>
            </w:r>
          </w:p>
        </w:tc>
        <w:tc>
          <w:tcPr>
            <w:tcW w:w="1361" w:type="dxa"/>
          </w:tcPr>
          <w:p>
            <w:pPr>
              <w:pStyle w:val="0"/>
              <w:jc w:val="center"/>
            </w:pPr>
            <w:r>
              <w:rPr>
                <w:sz w:val="20"/>
              </w:rPr>
              <w:t xml:space="preserve">2023 год</w:t>
            </w:r>
          </w:p>
        </w:tc>
        <w:tc>
          <w:tcPr>
            <w:tcW w:w="1361" w:type="dxa"/>
          </w:tcPr>
          <w:p>
            <w:pPr>
              <w:pStyle w:val="0"/>
              <w:jc w:val="center"/>
            </w:pPr>
            <w:r>
              <w:rPr>
                <w:sz w:val="20"/>
              </w:rPr>
              <w:t xml:space="preserve">2024 год</w:t>
            </w:r>
          </w:p>
        </w:tc>
        <w:tc>
          <w:tcPr>
            <w:tcW w:w="136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1304" w:type="dxa"/>
          </w:tcPr>
          <w:p>
            <w:pPr>
              <w:pStyle w:val="0"/>
              <w:jc w:val="center"/>
            </w:pPr>
            <w:r>
              <w:rPr>
                <w:sz w:val="20"/>
              </w:rPr>
              <w:t xml:space="preserve">2</w:t>
            </w:r>
          </w:p>
        </w:tc>
        <w:tc>
          <w:tcPr>
            <w:tcW w:w="3061" w:type="dxa"/>
          </w:tcPr>
          <w:p>
            <w:pPr>
              <w:pStyle w:val="0"/>
              <w:jc w:val="center"/>
            </w:pPr>
            <w:r>
              <w:rPr>
                <w:sz w:val="20"/>
              </w:rPr>
              <w:t xml:space="preserve">3</w:t>
            </w:r>
          </w:p>
        </w:tc>
        <w:tc>
          <w:tcPr>
            <w:tcW w:w="3572"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c>
          <w:tcPr>
            <w:tcW w:w="1361" w:type="dxa"/>
          </w:tcPr>
          <w:p>
            <w:pPr>
              <w:pStyle w:val="0"/>
              <w:jc w:val="center"/>
            </w:pPr>
            <w:r>
              <w:rPr>
                <w:sz w:val="20"/>
              </w:rPr>
              <w:t xml:space="preserve">7</w:t>
            </w:r>
          </w:p>
        </w:tc>
        <w:tc>
          <w:tcPr>
            <w:tcW w:w="1361" w:type="dxa"/>
          </w:tcPr>
          <w:p>
            <w:pPr>
              <w:pStyle w:val="0"/>
              <w:jc w:val="center"/>
            </w:pPr>
            <w:r>
              <w:rPr>
                <w:sz w:val="20"/>
              </w:rPr>
              <w:t xml:space="preserve">8</w:t>
            </w:r>
          </w:p>
        </w:tc>
        <w:tc>
          <w:tcPr>
            <w:tcW w:w="1361" w:type="dxa"/>
          </w:tcPr>
          <w:p>
            <w:pPr>
              <w:pStyle w:val="0"/>
              <w:jc w:val="center"/>
            </w:pPr>
            <w:r>
              <w:rPr>
                <w:sz w:val="20"/>
              </w:rPr>
              <w:t xml:space="preserve">9</w:t>
            </w:r>
          </w:p>
        </w:tc>
        <w:tc>
          <w:tcPr>
            <w:tcW w:w="1361" w:type="dxa"/>
          </w:tcPr>
          <w:p>
            <w:pPr>
              <w:pStyle w:val="0"/>
              <w:jc w:val="center"/>
            </w:pPr>
            <w:r>
              <w:rPr>
                <w:sz w:val="20"/>
              </w:rPr>
              <w:t xml:space="preserve">10</w:t>
            </w:r>
          </w:p>
        </w:tc>
        <w:tc>
          <w:tcPr>
            <w:tcW w:w="1361" w:type="dxa"/>
          </w:tcPr>
          <w:p>
            <w:pPr>
              <w:pStyle w:val="0"/>
              <w:jc w:val="center"/>
            </w:pPr>
            <w:r>
              <w:rPr>
                <w:sz w:val="20"/>
              </w:rPr>
              <w:t xml:space="preserve">11</w:t>
            </w:r>
          </w:p>
        </w:tc>
        <w:tc>
          <w:tcPr>
            <w:tcW w:w="1361" w:type="dxa"/>
          </w:tcPr>
          <w:p>
            <w:pPr>
              <w:pStyle w:val="0"/>
              <w:jc w:val="center"/>
            </w:pPr>
            <w:r>
              <w:rPr>
                <w:sz w:val="20"/>
              </w:rPr>
              <w:t xml:space="preserve">12</w:t>
            </w:r>
          </w:p>
        </w:tc>
      </w:tr>
      <w:tr>
        <w:tc>
          <w:tcPr>
            <w:tcW w:w="907" w:type="dxa"/>
          </w:tcPr>
          <w:p>
            <w:pPr>
              <w:pStyle w:val="0"/>
              <w:jc w:val="center"/>
            </w:pPr>
            <w:r>
              <w:rPr>
                <w:sz w:val="20"/>
              </w:rPr>
              <w:t xml:space="preserve">1.</w:t>
            </w:r>
          </w:p>
        </w:tc>
        <w:tc>
          <w:tcPr>
            <w:gridSpan w:val="11"/>
            <w:tcW w:w="18825" w:type="dxa"/>
          </w:tcPr>
          <w:p>
            <w:pPr>
              <w:pStyle w:val="0"/>
              <w:jc w:val="center"/>
            </w:pPr>
            <w:r>
              <w:rPr>
                <w:sz w:val="20"/>
              </w:rPr>
              <w:t xml:space="preserve">Региональный государственный экологический контроль (надзор) (Министерство природных ресурсов и экологии Свердловской области)</w:t>
            </w:r>
          </w:p>
        </w:tc>
      </w:tr>
      <w:tr>
        <w:tc>
          <w:tcPr>
            <w:tcW w:w="907" w:type="dxa"/>
          </w:tcPr>
          <w:p>
            <w:pPr>
              <w:pStyle w:val="0"/>
              <w:jc w:val="center"/>
            </w:pPr>
            <w:r>
              <w:rPr>
                <w:sz w:val="20"/>
              </w:rPr>
              <w:t xml:space="preserve">2.</w:t>
            </w:r>
          </w:p>
        </w:tc>
        <w:tc>
          <w:tcPr>
            <w:tcW w:w="1304" w:type="dxa"/>
          </w:tcPr>
          <w:p>
            <w:pPr>
              <w:pStyle w:val="0"/>
              <w:jc w:val="center"/>
            </w:pPr>
            <w:r>
              <w:rPr>
                <w:sz w:val="20"/>
              </w:rPr>
              <w:t xml:space="preserve">А.3.1.</w:t>
            </w:r>
          </w:p>
        </w:tc>
        <w:tc>
          <w:tcPr>
            <w:tcW w:w="3061" w:type="dxa"/>
          </w:tcPr>
          <w:p>
            <w:pPr>
              <w:pStyle w:val="0"/>
            </w:pPr>
            <w:r>
              <w:rPr>
                <w:sz w:val="20"/>
              </w:rPr>
              <w:t xml:space="preserve">Загрязненность химическими веществами атмосферного воздуха на территории Свердловской области от исследованных объектов за отчетный период (З</w:t>
            </w:r>
            <w:r>
              <w:rPr>
                <w:sz w:val="20"/>
                <w:vertAlign w:val="subscript"/>
              </w:rPr>
              <w:t xml:space="preserve">вр.вещ-ми</w:t>
            </w:r>
            <w:r>
              <w:rPr>
                <w:sz w:val="20"/>
              </w:rPr>
              <w:t xml:space="preserve">), процентов</w:t>
            </w:r>
          </w:p>
        </w:tc>
        <w:tc>
          <w:tcPr>
            <w:tcW w:w="3572" w:type="dxa"/>
          </w:tcPr>
          <w:p>
            <w:pPr>
              <w:pStyle w:val="0"/>
            </w:pPr>
            <w:r>
              <w:rPr>
                <w:sz w:val="20"/>
              </w:rPr>
              <w:t xml:space="preserve">З</w:t>
            </w:r>
            <w:r>
              <w:rPr>
                <w:sz w:val="20"/>
                <w:vertAlign w:val="subscript"/>
              </w:rPr>
              <w:t xml:space="preserve">вр.вещ-ми</w:t>
            </w:r>
            <w:r>
              <w:rPr>
                <w:sz w:val="20"/>
              </w:rPr>
              <w:t xml:space="preserve"> = И</w:t>
            </w:r>
            <w:r>
              <w:rPr>
                <w:sz w:val="20"/>
                <w:vertAlign w:val="subscript"/>
              </w:rPr>
              <w:t xml:space="preserve">нар</w:t>
            </w:r>
            <w:r>
              <w:rPr>
                <w:sz w:val="20"/>
              </w:rPr>
              <w:t xml:space="preserve"> / И</w:t>
            </w:r>
            <w:r>
              <w:rPr>
                <w:sz w:val="20"/>
                <w:vertAlign w:val="subscript"/>
              </w:rPr>
              <w:t xml:space="preserve">м</w:t>
            </w:r>
            <w:r>
              <w:rPr>
                <w:sz w:val="20"/>
              </w:rPr>
              <w:t xml:space="preserve"> x 100%, где:</w:t>
            </w:r>
          </w:p>
          <w:p>
            <w:pPr>
              <w:pStyle w:val="0"/>
            </w:pPr>
            <w:r>
              <w:rPr>
                <w:sz w:val="20"/>
              </w:rPr>
              <w:t xml:space="preserve">И</w:t>
            </w:r>
            <w:r>
              <w:rPr>
                <w:sz w:val="20"/>
                <w:vertAlign w:val="subscript"/>
              </w:rPr>
              <w:t xml:space="preserve">нар</w:t>
            </w:r>
            <w:r>
              <w:rPr>
                <w:sz w:val="20"/>
              </w:rPr>
              <w:t xml:space="preserve"> - количество исследований, результаты которых не отвечают требованиям законодательства Российской Федерации в сфере охраны атмосферного воздуха;</w:t>
            </w:r>
          </w:p>
          <w:p>
            <w:pPr>
              <w:pStyle w:val="0"/>
            </w:pPr>
            <w:r>
              <w:rPr>
                <w:sz w:val="20"/>
              </w:rPr>
              <w:t xml:space="preserve">И</w:t>
            </w:r>
            <w:r>
              <w:rPr>
                <w:sz w:val="20"/>
                <w:vertAlign w:val="subscript"/>
              </w:rPr>
              <w:t xml:space="preserve">м</w:t>
            </w:r>
            <w:r>
              <w:rPr>
                <w:sz w:val="20"/>
              </w:rPr>
              <w:t xml:space="preserve"> - общее количество исследований, выполненных в рамках мониторинга атмосферного воздуха</w:t>
            </w:r>
          </w:p>
        </w:tc>
        <w:tc>
          <w:tcPr>
            <w:tcW w:w="1361" w:type="dxa"/>
          </w:tcPr>
          <w:p>
            <w:pPr>
              <w:pStyle w:val="0"/>
              <w:jc w:val="center"/>
            </w:pPr>
            <w:r>
              <w:rPr>
                <w:sz w:val="20"/>
              </w:rPr>
              <w:t xml:space="preserve">не более 74,48%</w:t>
            </w:r>
          </w:p>
        </w:tc>
        <w:tc>
          <w:tcPr>
            <w:tcW w:w="1361" w:type="dxa"/>
          </w:tcPr>
          <w:p>
            <w:pPr>
              <w:pStyle w:val="0"/>
              <w:jc w:val="center"/>
            </w:pPr>
            <w:r>
              <w:rPr>
                <w:sz w:val="20"/>
              </w:rPr>
              <w:t xml:space="preserve">не более 72,96%</w:t>
            </w:r>
          </w:p>
        </w:tc>
        <w:tc>
          <w:tcPr>
            <w:tcW w:w="1361" w:type="dxa"/>
          </w:tcPr>
          <w:p>
            <w:pPr>
              <w:pStyle w:val="0"/>
              <w:jc w:val="center"/>
            </w:pPr>
            <w:r>
              <w:rPr>
                <w:sz w:val="20"/>
              </w:rPr>
              <w:t xml:space="preserve">не более 71,44%</w:t>
            </w:r>
          </w:p>
        </w:tc>
        <w:tc>
          <w:tcPr>
            <w:tcW w:w="1361" w:type="dxa"/>
          </w:tcPr>
          <w:p>
            <w:pPr>
              <w:pStyle w:val="0"/>
              <w:jc w:val="center"/>
            </w:pPr>
            <w:r>
              <w:rPr>
                <w:sz w:val="20"/>
              </w:rPr>
              <w:t xml:space="preserve">не более 70%</w:t>
            </w:r>
          </w:p>
        </w:tc>
        <w:tc>
          <w:tcPr>
            <w:tcW w:w="1361" w:type="dxa"/>
          </w:tcPr>
          <w:p>
            <w:pPr>
              <w:pStyle w:val="0"/>
              <w:jc w:val="center"/>
            </w:pPr>
            <w:r>
              <w:rPr>
                <w:sz w:val="20"/>
              </w:rPr>
              <w:t xml:space="preserve">не более 68%</w:t>
            </w:r>
          </w:p>
        </w:tc>
        <w:tc>
          <w:tcPr>
            <w:tcW w:w="1361" w:type="dxa"/>
          </w:tcPr>
          <w:p>
            <w:pPr>
              <w:pStyle w:val="0"/>
              <w:jc w:val="center"/>
            </w:pPr>
            <w:r>
              <w:rPr>
                <w:sz w:val="20"/>
              </w:rPr>
              <w:t xml:space="preserve">не более 67%</w:t>
            </w:r>
          </w:p>
        </w:tc>
        <w:tc>
          <w:tcPr>
            <w:tcW w:w="1361" w:type="dxa"/>
          </w:tcPr>
          <w:p>
            <w:pPr>
              <w:pStyle w:val="0"/>
              <w:jc w:val="center"/>
            </w:pPr>
            <w:r>
              <w:rPr>
                <w:sz w:val="20"/>
              </w:rPr>
              <w:t xml:space="preserve">не более 65%</w:t>
            </w:r>
          </w:p>
        </w:tc>
        <w:tc>
          <w:tcPr>
            <w:tcW w:w="1361" w:type="dxa"/>
          </w:tcPr>
          <w:p>
            <w:pPr>
              <w:pStyle w:val="0"/>
              <w:jc w:val="center"/>
            </w:pPr>
            <w:r>
              <w:rPr>
                <w:sz w:val="20"/>
              </w:rPr>
              <w:t xml:space="preserve">не более 64%</w:t>
            </w:r>
          </w:p>
        </w:tc>
      </w:tr>
      <w:tr>
        <w:tc>
          <w:tcPr>
            <w:tcW w:w="907" w:type="dxa"/>
          </w:tcPr>
          <w:p>
            <w:pPr>
              <w:pStyle w:val="0"/>
              <w:jc w:val="center"/>
            </w:pPr>
            <w:r>
              <w:rPr>
                <w:sz w:val="20"/>
              </w:rPr>
              <w:t xml:space="preserve">3.</w:t>
            </w:r>
          </w:p>
        </w:tc>
        <w:tc>
          <w:tcPr>
            <w:tcW w:w="1304" w:type="dxa"/>
          </w:tcPr>
          <w:p>
            <w:pPr>
              <w:pStyle w:val="0"/>
              <w:jc w:val="center"/>
            </w:pPr>
            <w:r>
              <w:rPr>
                <w:sz w:val="20"/>
              </w:rPr>
              <w:t xml:space="preserve">А.3.2.</w:t>
            </w:r>
          </w:p>
        </w:tc>
        <w:tc>
          <w:tcPr>
            <w:tcW w:w="3061" w:type="dxa"/>
          </w:tcPr>
          <w:p>
            <w:pPr>
              <w:pStyle w:val="0"/>
            </w:pPr>
            <w:r>
              <w:rPr>
                <w:sz w:val="20"/>
              </w:rPr>
              <w:t xml:space="preserve">Загрязненность химическими веществами при осуществлении сброса сточных вод в водные объекты, находящиеся на территории Свердловской области, от исследованных объектов за отчетный период (З</w:t>
            </w:r>
            <w:r>
              <w:rPr>
                <w:sz w:val="20"/>
                <w:vertAlign w:val="subscript"/>
              </w:rPr>
              <w:t xml:space="preserve">вр.вещ-ми</w:t>
            </w:r>
            <w:r>
              <w:rPr>
                <w:sz w:val="20"/>
              </w:rPr>
              <w:t xml:space="preserve">), процентов</w:t>
            </w:r>
          </w:p>
        </w:tc>
        <w:tc>
          <w:tcPr>
            <w:tcW w:w="3572" w:type="dxa"/>
          </w:tcPr>
          <w:p>
            <w:pPr>
              <w:pStyle w:val="0"/>
            </w:pPr>
            <w:r>
              <w:rPr>
                <w:sz w:val="20"/>
              </w:rPr>
              <w:t xml:space="preserve">З</w:t>
            </w:r>
            <w:r>
              <w:rPr>
                <w:sz w:val="20"/>
                <w:vertAlign w:val="subscript"/>
              </w:rPr>
              <w:t xml:space="preserve">вр.вещ-ми</w:t>
            </w:r>
            <w:r>
              <w:rPr>
                <w:sz w:val="20"/>
              </w:rPr>
              <w:t xml:space="preserve"> = И</w:t>
            </w:r>
            <w:r>
              <w:rPr>
                <w:sz w:val="20"/>
                <w:vertAlign w:val="subscript"/>
              </w:rPr>
              <w:t xml:space="preserve">нар</w:t>
            </w:r>
            <w:r>
              <w:rPr>
                <w:sz w:val="20"/>
              </w:rPr>
              <w:t xml:space="preserve"> / И</w:t>
            </w:r>
            <w:r>
              <w:rPr>
                <w:sz w:val="20"/>
                <w:vertAlign w:val="subscript"/>
              </w:rPr>
              <w:t xml:space="preserve">м</w:t>
            </w:r>
            <w:r>
              <w:rPr>
                <w:sz w:val="20"/>
              </w:rPr>
              <w:t xml:space="preserve"> x 100%, где:</w:t>
            </w:r>
          </w:p>
          <w:p>
            <w:pPr>
              <w:pStyle w:val="0"/>
            </w:pPr>
            <w:r>
              <w:rPr>
                <w:sz w:val="20"/>
              </w:rPr>
              <w:t xml:space="preserve">И</w:t>
            </w:r>
            <w:r>
              <w:rPr>
                <w:sz w:val="20"/>
                <w:vertAlign w:val="subscript"/>
              </w:rPr>
              <w:t xml:space="preserve">нар</w:t>
            </w:r>
            <w:r>
              <w:rPr>
                <w:sz w:val="20"/>
              </w:rPr>
              <w:t xml:space="preserve"> - количество исследований, результаты которых не отвечают требованиям водного законодательства Российской Федерации;</w:t>
            </w:r>
          </w:p>
          <w:p>
            <w:pPr>
              <w:pStyle w:val="0"/>
            </w:pPr>
            <w:r>
              <w:rPr>
                <w:sz w:val="20"/>
              </w:rPr>
              <w:t xml:space="preserve">И</w:t>
            </w:r>
            <w:r>
              <w:rPr>
                <w:sz w:val="20"/>
                <w:vertAlign w:val="subscript"/>
              </w:rPr>
              <w:t xml:space="preserve">м</w:t>
            </w:r>
            <w:r>
              <w:rPr>
                <w:sz w:val="20"/>
              </w:rPr>
              <w:t xml:space="preserve"> - общее количество исследований, выполненных в рамках надзора за использованием и охраной водных объектов</w:t>
            </w:r>
          </w:p>
        </w:tc>
        <w:tc>
          <w:tcPr>
            <w:tcW w:w="1361" w:type="dxa"/>
          </w:tcPr>
          <w:p>
            <w:pPr>
              <w:pStyle w:val="0"/>
              <w:jc w:val="center"/>
            </w:pPr>
            <w:r>
              <w:rPr>
                <w:sz w:val="20"/>
              </w:rPr>
              <w:t xml:space="preserve">не более 87,22%</w:t>
            </w:r>
          </w:p>
        </w:tc>
        <w:tc>
          <w:tcPr>
            <w:tcW w:w="1361" w:type="dxa"/>
          </w:tcPr>
          <w:p>
            <w:pPr>
              <w:pStyle w:val="0"/>
              <w:jc w:val="center"/>
            </w:pPr>
            <w:r>
              <w:rPr>
                <w:sz w:val="20"/>
              </w:rPr>
              <w:t xml:space="preserve">не более 85,44%</w:t>
            </w:r>
          </w:p>
        </w:tc>
        <w:tc>
          <w:tcPr>
            <w:tcW w:w="1361" w:type="dxa"/>
          </w:tcPr>
          <w:p>
            <w:pPr>
              <w:pStyle w:val="0"/>
              <w:jc w:val="center"/>
            </w:pPr>
            <w:r>
              <w:rPr>
                <w:sz w:val="20"/>
              </w:rPr>
              <w:t xml:space="preserve">не более 83,66%</w:t>
            </w:r>
          </w:p>
        </w:tc>
        <w:tc>
          <w:tcPr>
            <w:tcW w:w="1361" w:type="dxa"/>
          </w:tcPr>
          <w:p>
            <w:pPr>
              <w:pStyle w:val="0"/>
              <w:jc w:val="center"/>
            </w:pPr>
            <w:r>
              <w:rPr>
                <w:sz w:val="20"/>
              </w:rPr>
              <w:t xml:space="preserve">не более 82%</w:t>
            </w:r>
          </w:p>
        </w:tc>
        <w:tc>
          <w:tcPr>
            <w:tcW w:w="1361" w:type="dxa"/>
          </w:tcPr>
          <w:p>
            <w:pPr>
              <w:pStyle w:val="0"/>
              <w:jc w:val="center"/>
            </w:pPr>
            <w:r>
              <w:rPr>
                <w:sz w:val="20"/>
              </w:rPr>
              <w:t xml:space="preserve">не более 80%</w:t>
            </w:r>
          </w:p>
        </w:tc>
        <w:tc>
          <w:tcPr>
            <w:tcW w:w="1361" w:type="dxa"/>
          </w:tcPr>
          <w:p>
            <w:pPr>
              <w:pStyle w:val="0"/>
              <w:jc w:val="center"/>
            </w:pPr>
            <w:r>
              <w:rPr>
                <w:sz w:val="20"/>
              </w:rPr>
              <w:t xml:space="preserve">не более 78%</w:t>
            </w:r>
          </w:p>
        </w:tc>
        <w:tc>
          <w:tcPr>
            <w:tcW w:w="1361" w:type="dxa"/>
          </w:tcPr>
          <w:p>
            <w:pPr>
              <w:pStyle w:val="0"/>
              <w:jc w:val="center"/>
            </w:pPr>
            <w:r>
              <w:rPr>
                <w:sz w:val="20"/>
              </w:rPr>
              <w:t xml:space="preserve">не более 76%</w:t>
            </w:r>
          </w:p>
        </w:tc>
        <w:tc>
          <w:tcPr>
            <w:tcW w:w="1361" w:type="dxa"/>
          </w:tcPr>
          <w:p>
            <w:pPr>
              <w:pStyle w:val="0"/>
              <w:jc w:val="center"/>
            </w:pPr>
            <w:r>
              <w:rPr>
                <w:sz w:val="20"/>
              </w:rPr>
              <w:t xml:space="preserve">не более 75%</w:t>
            </w:r>
          </w:p>
        </w:tc>
      </w:tr>
      <w:tr>
        <w:tc>
          <w:tcPr>
            <w:tcW w:w="907" w:type="dxa"/>
          </w:tcPr>
          <w:p>
            <w:pPr>
              <w:pStyle w:val="0"/>
              <w:jc w:val="center"/>
            </w:pPr>
            <w:r>
              <w:rPr>
                <w:sz w:val="20"/>
              </w:rPr>
              <w:t xml:space="preserve">4.</w:t>
            </w:r>
          </w:p>
        </w:tc>
        <w:tc>
          <w:tcPr>
            <w:tcW w:w="1304" w:type="dxa"/>
          </w:tcPr>
          <w:p>
            <w:pPr>
              <w:pStyle w:val="0"/>
              <w:jc w:val="center"/>
            </w:pPr>
            <w:r>
              <w:rPr>
                <w:sz w:val="20"/>
              </w:rPr>
              <w:t xml:space="preserve">А.3.3.</w:t>
            </w:r>
          </w:p>
        </w:tc>
        <w:tc>
          <w:tcPr>
            <w:tcW w:w="3061" w:type="dxa"/>
          </w:tcPr>
          <w:p>
            <w:pPr>
              <w:pStyle w:val="0"/>
            </w:pPr>
            <w:r>
              <w:rPr>
                <w:sz w:val="20"/>
              </w:rPr>
              <w:t xml:space="preserve">Загрязненность почвы нефтепродуктами на территории Свердловской области от исследованных объектов за отчетный период (З</w:t>
            </w:r>
            <w:r>
              <w:rPr>
                <w:sz w:val="20"/>
                <w:vertAlign w:val="subscript"/>
              </w:rPr>
              <w:t xml:space="preserve">нефт.</w:t>
            </w:r>
            <w:r>
              <w:rPr>
                <w:sz w:val="20"/>
              </w:rPr>
              <w:t xml:space="preserve">), процентов</w:t>
            </w:r>
          </w:p>
        </w:tc>
        <w:tc>
          <w:tcPr>
            <w:tcW w:w="3572" w:type="dxa"/>
          </w:tcPr>
          <w:p>
            <w:pPr>
              <w:pStyle w:val="0"/>
            </w:pPr>
            <w:r>
              <w:rPr>
                <w:sz w:val="20"/>
              </w:rPr>
              <w:t xml:space="preserve">З</w:t>
            </w:r>
            <w:r>
              <w:rPr>
                <w:sz w:val="20"/>
                <w:vertAlign w:val="subscript"/>
              </w:rPr>
              <w:t xml:space="preserve">нефт.</w:t>
            </w:r>
            <w:r>
              <w:rPr>
                <w:sz w:val="20"/>
              </w:rPr>
              <w:t xml:space="preserve"> = И</w:t>
            </w:r>
            <w:r>
              <w:rPr>
                <w:sz w:val="20"/>
                <w:vertAlign w:val="subscript"/>
              </w:rPr>
              <w:t xml:space="preserve">нар</w:t>
            </w:r>
            <w:r>
              <w:rPr>
                <w:sz w:val="20"/>
              </w:rPr>
              <w:t xml:space="preserve"> / И</w:t>
            </w:r>
            <w:r>
              <w:rPr>
                <w:sz w:val="20"/>
                <w:vertAlign w:val="subscript"/>
              </w:rPr>
              <w:t xml:space="preserve">м</w:t>
            </w:r>
            <w:r>
              <w:rPr>
                <w:sz w:val="20"/>
              </w:rPr>
              <w:t xml:space="preserve"> x 100%, где:</w:t>
            </w:r>
          </w:p>
          <w:p>
            <w:pPr>
              <w:pStyle w:val="0"/>
            </w:pPr>
            <w:r>
              <w:rPr>
                <w:sz w:val="20"/>
              </w:rPr>
              <w:t xml:space="preserve">И</w:t>
            </w:r>
            <w:r>
              <w:rPr>
                <w:sz w:val="20"/>
                <w:vertAlign w:val="subscript"/>
              </w:rPr>
              <w:t xml:space="preserve">нар</w:t>
            </w:r>
            <w:r>
              <w:rPr>
                <w:sz w:val="20"/>
              </w:rPr>
              <w:t xml:space="preserve"> - количество исследований, результаты которых не отвечают требованиям законодательства Российской Федерации в сфере обращения с отходами производства и потребления;</w:t>
            </w:r>
          </w:p>
          <w:p>
            <w:pPr>
              <w:pStyle w:val="0"/>
            </w:pPr>
            <w:r>
              <w:rPr>
                <w:sz w:val="20"/>
              </w:rPr>
              <w:t xml:space="preserve">И</w:t>
            </w:r>
            <w:r>
              <w:rPr>
                <w:sz w:val="20"/>
                <w:vertAlign w:val="subscript"/>
              </w:rPr>
              <w:t xml:space="preserve">м</w:t>
            </w:r>
            <w:r>
              <w:rPr>
                <w:sz w:val="20"/>
              </w:rPr>
              <w:t xml:space="preserve"> - общее количество исследований, выполненных в рамках надзора в сфере обращения с отходами производства и потребления</w:t>
            </w:r>
          </w:p>
        </w:tc>
        <w:tc>
          <w:tcPr>
            <w:tcW w:w="1361" w:type="dxa"/>
          </w:tcPr>
          <w:p>
            <w:pPr>
              <w:pStyle w:val="0"/>
              <w:jc w:val="center"/>
            </w:pPr>
            <w:r>
              <w:rPr>
                <w:sz w:val="20"/>
              </w:rPr>
              <w:t xml:space="preserve">не более 42,14%</w:t>
            </w:r>
          </w:p>
        </w:tc>
        <w:tc>
          <w:tcPr>
            <w:tcW w:w="1361" w:type="dxa"/>
          </w:tcPr>
          <w:p>
            <w:pPr>
              <w:pStyle w:val="0"/>
              <w:jc w:val="center"/>
            </w:pPr>
            <w:r>
              <w:rPr>
                <w:sz w:val="20"/>
              </w:rPr>
              <w:t xml:space="preserve">не более 41,28%</w:t>
            </w:r>
          </w:p>
        </w:tc>
        <w:tc>
          <w:tcPr>
            <w:tcW w:w="1361" w:type="dxa"/>
          </w:tcPr>
          <w:p>
            <w:pPr>
              <w:pStyle w:val="0"/>
              <w:jc w:val="center"/>
            </w:pPr>
            <w:r>
              <w:rPr>
                <w:sz w:val="20"/>
              </w:rPr>
              <w:t xml:space="preserve">не более 40,42%</w:t>
            </w:r>
          </w:p>
        </w:tc>
        <w:tc>
          <w:tcPr>
            <w:tcW w:w="1361" w:type="dxa"/>
          </w:tcPr>
          <w:p>
            <w:pPr>
              <w:pStyle w:val="0"/>
              <w:jc w:val="center"/>
            </w:pPr>
            <w:r>
              <w:rPr>
                <w:sz w:val="20"/>
              </w:rPr>
              <w:t xml:space="preserve">не более 39,6%</w:t>
            </w:r>
          </w:p>
        </w:tc>
        <w:tc>
          <w:tcPr>
            <w:tcW w:w="1361" w:type="dxa"/>
          </w:tcPr>
          <w:p>
            <w:pPr>
              <w:pStyle w:val="0"/>
              <w:jc w:val="center"/>
            </w:pPr>
            <w:r>
              <w:rPr>
                <w:sz w:val="20"/>
              </w:rPr>
              <w:t xml:space="preserve">не более 38,7%</w:t>
            </w:r>
          </w:p>
        </w:tc>
        <w:tc>
          <w:tcPr>
            <w:tcW w:w="1361" w:type="dxa"/>
          </w:tcPr>
          <w:p>
            <w:pPr>
              <w:pStyle w:val="0"/>
              <w:jc w:val="center"/>
            </w:pPr>
            <w:r>
              <w:rPr>
                <w:sz w:val="20"/>
              </w:rPr>
              <w:t xml:space="preserve">не более 38%</w:t>
            </w:r>
          </w:p>
        </w:tc>
        <w:tc>
          <w:tcPr>
            <w:tcW w:w="1361" w:type="dxa"/>
          </w:tcPr>
          <w:p>
            <w:pPr>
              <w:pStyle w:val="0"/>
              <w:jc w:val="center"/>
            </w:pPr>
            <w:r>
              <w:rPr>
                <w:sz w:val="20"/>
              </w:rPr>
              <w:t xml:space="preserve">не более 37%</w:t>
            </w:r>
          </w:p>
        </w:tc>
        <w:tc>
          <w:tcPr>
            <w:tcW w:w="1361" w:type="dxa"/>
          </w:tcPr>
          <w:p>
            <w:pPr>
              <w:pStyle w:val="0"/>
              <w:jc w:val="center"/>
            </w:pPr>
            <w:r>
              <w:rPr>
                <w:sz w:val="20"/>
              </w:rPr>
              <w:t xml:space="preserve">не более 36%</w:t>
            </w:r>
          </w:p>
        </w:tc>
      </w:tr>
      <w:tr>
        <w:tc>
          <w:tcPr>
            <w:tcW w:w="907" w:type="dxa"/>
          </w:tcPr>
          <w:p>
            <w:pPr>
              <w:pStyle w:val="0"/>
              <w:jc w:val="center"/>
            </w:pPr>
            <w:r>
              <w:rPr>
                <w:sz w:val="20"/>
              </w:rPr>
              <w:t xml:space="preserve">5.</w:t>
            </w:r>
          </w:p>
        </w:tc>
        <w:tc>
          <w:tcPr>
            <w:gridSpan w:val="11"/>
            <w:tcW w:w="18825" w:type="dxa"/>
          </w:tcPr>
          <w:p>
            <w:pPr>
              <w:pStyle w:val="0"/>
              <w:jc w:val="center"/>
            </w:pPr>
            <w:r>
              <w:rPr>
                <w:sz w:val="20"/>
              </w:rPr>
              <w:t xml:space="preserve">Региональный государственный геологический контроль (надзор) (Министерство природных ресурсов и экологии Свердловской области)</w:t>
            </w:r>
          </w:p>
        </w:tc>
      </w:tr>
      <w:tr>
        <w:tc>
          <w:tcPr>
            <w:tcW w:w="907" w:type="dxa"/>
          </w:tcPr>
          <w:p>
            <w:pPr>
              <w:pStyle w:val="0"/>
              <w:jc w:val="center"/>
            </w:pPr>
            <w:r>
              <w:rPr>
                <w:sz w:val="20"/>
              </w:rPr>
              <w:t xml:space="preserve">6.</w:t>
            </w:r>
          </w:p>
        </w:tc>
        <w:tc>
          <w:tcPr>
            <w:tcW w:w="1304" w:type="dxa"/>
          </w:tcPr>
          <w:p>
            <w:pPr>
              <w:pStyle w:val="0"/>
              <w:jc w:val="center"/>
            </w:pPr>
            <w:r>
              <w:rPr>
                <w:sz w:val="20"/>
              </w:rPr>
              <w:t xml:space="preserve">А.1.</w:t>
            </w:r>
          </w:p>
        </w:tc>
        <w:tc>
          <w:tcPr>
            <w:tcW w:w="3061" w:type="dxa"/>
          </w:tcPr>
          <w:p>
            <w:pPr>
              <w:pStyle w:val="0"/>
            </w:pPr>
            <w:r>
              <w:rPr>
                <w:sz w:val="20"/>
              </w:rPr>
              <w:t xml:space="preserve">Количество случаев незаконного пользования недрами, по которым произведен расчет вреда недрам, единиц</w:t>
            </w:r>
          </w:p>
        </w:tc>
        <w:tc>
          <w:tcPr>
            <w:tcW w:w="3572" w:type="dxa"/>
          </w:tcPr>
          <w:p>
            <w:pPr>
              <w:pStyle w:val="0"/>
            </w:pPr>
            <w:r>
              <w:rPr>
                <w:sz w:val="20"/>
              </w:rPr>
              <w:t xml:space="preserve">данные Министерства природных ресурсов и экологии Свердловской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r>
      <w:tr>
        <w:tc>
          <w:tcPr>
            <w:tcW w:w="907" w:type="dxa"/>
          </w:tcPr>
          <w:p>
            <w:pPr>
              <w:pStyle w:val="0"/>
              <w:jc w:val="center"/>
            </w:pPr>
            <w:r>
              <w:rPr>
                <w:sz w:val="20"/>
              </w:rPr>
              <w:t xml:space="preserve">7.</w:t>
            </w:r>
          </w:p>
        </w:tc>
        <w:tc>
          <w:tcPr>
            <w:gridSpan w:val="11"/>
            <w:tcW w:w="18825" w:type="dxa"/>
          </w:tcPr>
          <w:p>
            <w:pPr>
              <w:pStyle w:val="0"/>
              <w:jc w:val="center"/>
            </w:pPr>
            <w:r>
              <w:rPr>
                <w:sz w:val="20"/>
              </w:rPr>
              <w:t xml:space="preserve">Региональный государственный контроль (надзор) в сфере охраны и использования особо охраняемых природных территорий (Министерство природных ресурсов и экологии Свердловской области)</w:t>
            </w:r>
          </w:p>
        </w:tc>
      </w:tr>
      <w:tr>
        <w:tc>
          <w:tcPr>
            <w:tcW w:w="907" w:type="dxa"/>
          </w:tcPr>
          <w:p>
            <w:pPr>
              <w:pStyle w:val="0"/>
              <w:jc w:val="center"/>
            </w:pPr>
            <w:r>
              <w:rPr>
                <w:sz w:val="20"/>
              </w:rPr>
              <w:t xml:space="preserve">8.</w:t>
            </w:r>
          </w:p>
        </w:tc>
        <w:tc>
          <w:tcPr>
            <w:tcW w:w="1304" w:type="dxa"/>
          </w:tcPr>
          <w:p>
            <w:pPr>
              <w:pStyle w:val="0"/>
              <w:jc w:val="center"/>
            </w:pPr>
            <w:r>
              <w:rPr>
                <w:sz w:val="20"/>
              </w:rPr>
              <w:t xml:space="preserve">А.2.</w:t>
            </w:r>
          </w:p>
        </w:tc>
        <w:tc>
          <w:tcPr>
            <w:tcW w:w="3061" w:type="dxa"/>
          </w:tcPr>
          <w:p>
            <w:pPr>
              <w:pStyle w:val="0"/>
            </w:pPr>
            <w:r>
              <w:rPr>
                <w:sz w:val="20"/>
              </w:rPr>
              <w:t xml:space="preserve">Количество инцидентов на особо охраняемой природной территории, приведших к расчету ущерба, единиц</w:t>
            </w:r>
          </w:p>
        </w:tc>
        <w:tc>
          <w:tcPr>
            <w:tcW w:w="3572" w:type="dxa"/>
          </w:tcPr>
          <w:p>
            <w:pPr>
              <w:pStyle w:val="0"/>
            </w:pPr>
            <w:r>
              <w:rPr>
                <w:sz w:val="20"/>
              </w:rPr>
              <w:t xml:space="preserve">данные Министерства природных ресурсов и экологии Свердловской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2</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c>
          <w:tcPr>
            <w:tcW w:w="1361" w:type="dxa"/>
          </w:tcPr>
          <w:p>
            <w:pPr>
              <w:pStyle w:val="0"/>
              <w:jc w:val="center"/>
            </w:pPr>
            <w:r>
              <w:rPr>
                <w:sz w:val="20"/>
              </w:rPr>
              <w:t xml:space="preserve">не более значения 2021 года</w:t>
            </w:r>
          </w:p>
        </w:tc>
      </w:tr>
      <w:tr>
        <w:tc>
          <w:tcPr>
            <w:tcW w:w="907" w:type="dxa"/>
          </w:tcPr>
          <w:p>
            <w:pPr>
              <w:pStyle w:val="0"/>
              <w:jc w:val="center"/>
            </w:pPr>
            <w:r>
              <w:rPr>
                <w:sz w:val="20"/>
              </w:rPr>
              <w:t xml:space="preserve">9.</w:t>
            </w:r>
          </w:p>
        </w:tc>
        <w:tc>
          <w:tcPr>
            <w:gridSpan w:val="11"/>
            <w:tcW w:w="18825" w:type="dxa"/>
          </w:tcPr>
          <w:p>
            <w:pPr>
              <w:pStyle w:val="0"/>
              <w:jc w:val="center"/>
            </w:pPr>
            <w:r>
              <w:rPr>
                <w:sz w:val="20"/>
              </w:rPr>
              <w:t xml:space="preserve">Региональный государственный контроль (надзор) в области розничной продажи алкогольной и спиртосодержащей продукции (Министерство агропромышленного комплекса и потребительского рынка Свердловской области)</w:t>
            </w:r>
          </w:p>
        </w:tc>
      </w:tr>
      <w:tr>
        <w:tc>
          <w:tcPr>
            <w:tcW w:w="907" w:type="dxa"/>
          </w:tcPr>
          <w:p>
            <w:pPr>
              <w:pStyle w:val="0"/>
              <w:jc w:val="center"/>
            </w:pPr>
            <w:r>
              <w:rPr>
                <w:sz w:val="20"/>
              </w:rPr>
              <w:t xml:space="preserve">10.</w:t>
            </w:r>
          </w:p>
        </w:tc>
        <w:tc>
          <w:tcPr>
            <w:tcW w:w="1304" w:type="dxa"/>
          </w:tcPr>
          <w:p>
            <w:pPr>
              <w:pStyle w:val="0"/>
              <w:jc w:val="center"/>
            </w:pPr>
            <w:r>
              <w:rPr>
                <w:sz w:val="20"/>
              </w:rPr>
              <w:t xml:space="preserve">А.1.</w:t>
            </w:r>
          </w:p>
        </w:tc>
        <w:tc>
          <w:tcPr>
            <w:tcW w:w="3061" w:type="dxa"/>
          </w:tcPr>
          <w:p>
            <w:pPr>
              <w:pStyle w:val="0"/>
            </w:pPr>
            <w:r>
              <w:rPr>
                <w:sz w:val="20"/>
              </w:rPr>
              <w:t xml:space="preserve">Число погибших в результате отравления алкогольной продукцией, приобретенной у организаций, имеющих лицензию на розничную продажу алкогольной продукции, на 100000 населения Свердловской области, человек</w:t>
            </w:r>
          </w:p>
        </w:tc>
        <w:tc>
          <w:tcPr>
            <w:tcW w:w="3572" w:type="dxa"/>
          </w:tcPr>
          <w:p>
            <w:pPr>
              <w:pStyle w:val="0"/>
            </w:pPr>
            <w:r>
              <w:rPr>
                <w:sz w:val="20"/>
              </w:rPr>
              <w:t xml:space="preserve">данные Министерства здравоохранения Свердловской области</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11.</w:t>
            </w:r>
          </w:p>
        </w:tc>
        <w:tc>
          <w:tcPr>
            <w:gridSpan w:val="11"/>
            <w:tcW w:w="18825" w:type="dxa"/>
          </w:tcPr>
          <w:p>
            <w:pPr>
              <w:pStyle w:val="0"/>
              <w:jc w:val="center"/>
            </w:pPr>
            <w:r>
              <w:rPr>
                <w:sz w:val="20"/>
              </w:rPr>
              <w:t xml:space="preserve">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Свердловской области (Министерство агропромышленного комплекса и потребительского рынка Свердловской области)</w:t>
            </w:r>
          </w:p>
        </w:tc>
      </w:tr>
      <w:tr>
        <w:tc>
          <w:tcPr>
            <w:tcW w:w="907" w:type="dxa"/>
          </w:tcPr>
          <w:p>
            <w:pPr>
              <w:pStyle w:val="0"/>
              <w:jc w:val="center"/>
            </w:pPr>
            <w:r>
              <w:rPr>
                <w:sz w:val="20"/>
              </w:rPr>
              <w:t xml:space="preserve">12.</w:t>
            </w:r>
          </w:p>
        </w:tc>
        <w:tc>
          <w:tcPr>
            <w:tcW w:w="1304" w:type="dxa"/>
          </w:tcPr>
          <w:p>
            <w:pPr>
              <w:pStyle w:val="0"/>
              <w:jc w:val="center"/>
            </w:pPr>
            <w:r>
              <w:rPr>
                <w:sz w:val="20"/>
              </w:rPr>
              <w:t xml:space="preserve">А.1.1.</w:t>
            </w:r>
          </w:p>
        </w:tc>
        <w:tc>
          <w:tcPr>
            <w:tcW w:w="3061" w:type="dxa"/>
          </w:tcPr>
          <w:p>
            <w:pPr>
              <w:pStyle w:val="0"/>
            </w:pPr>
            <w:r>
              <w:rPr>
                <w:sz w:val="20"/>
              </w:rPr>
              <w:t xml:space="preserve">Количество погибших в результате технической неисправности трактора, самоходной машины или прицепа к ним с действующим свидетельством о прохождении технического осмотра на 100000 населения Свердловской области (П), человек</w:t>
            </w:r>
          </w:p>
        </w:tc>
        <w:tc>
          <w:tcPr>
            <w:tcW w:w="3572" w:type="dxa"/>
          </w:tcPr>
          <w:p>
            <w:pPr>
              <w:pStyle w:val="0"/>
            </w:pPr>
            <w:r>
              <w:rPr>
                <w:sz w:val="20"/>
              </w:rPr>
              <w:t xml:space="preserve">П = П</w:t>
            </w:r>
            <w:r>
              <w:rPr>
                <w:sz w:val="20"/>
                <w:vertAlign w:val="subscript"/>
              </w:rPr>
              <w:t xml:space="preserve">общ.</w:t>
            </w:r>
            <w:r>
              <w:rPr>
                <w:sz w:val="20"/>
              </w:rPr>
              <w:t xml:space="preserve"> / ЧН</w:t>
            </w:r>
            <w:r>
              <w:rPr>
                <w:sz w:val="20"/>
                <w:vertAlign w:val="subscript"/>
              </w:rPr>
              <w:t xml:space="preserve">обл.</w:t>
            </w:r>
            <w:r>
              <w:rPr>
                <w:sz w:val="20"/>
              </w:rPr>
              <w:t xml:space="preserve"> x 100000, где:</w:t>
            </w:r>
          </w:p>
          <w:p>
            <w:pPr>
              <w:pStyle w:val="0"/>
            </w:pPr>
            <w:r>
              <w:rPr>
                <w:sz w:val="20"/>
              </w:rPr>
              <w:t xml:space="preserve">П</w:t>
            </w:r>
            <w:r>
              <w:rPr>
                <w:sz w:val="20"/>
                <w:vertAlign w:val="subscript"/>
              </w:rPr>
              <w:t xml:space="preserve">общ.</w:t>
            </w:r>
            <w:r>
              <w:rPr>
                <w:sz w:val="20"/>
              </w:rPr>
              <w:t xml:space="preserve"> - количество погибших в результате технической неисправности трактора, самоходной машины или прицепа к ним с действующим свидетельством о прохождении технического осмотра, по данным Государственной инспекции труда в Свердловской области и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(далее - УГИБДД ГУ МВД России по Свердловской области);</w:t>
            </w:r>
          </w:p>
          <w:p>
            <w:pPr>
              <w:pStyle w:val="0"/>
            </w:pPr>
            <w:r>
              <w:rPr>
                <w:sz w:val="20"/>
              </w:rPr>
              <w:t xml:space="preserve">ЧН</w:t>
            </w:r>
            <w:r>
              <w:rPr>
                <w:sz w:val="20"/>
                <w:vertAlign w:val="subscript"/>
              </w:rPr>
              <w:t xml:space="preserve">обл.</w:t>
            </w:r>
            <w:r>
              <w:rPr>
                <w:sz w:val="20"/>
              </w:rPr>
              <w:t xml:space="preserve">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13.</w:t>
            </w:r>
          </w:p>
        </w:tc>
        <w:tc>
          <w:tcPr>
            <w:tcW w:w="1304" w:type="dxa"/>
          </w:tcPr>
          <w:p>
            <w:pPr>
              <w:pStyle w:val="0"/>
              <w:jc w:val="center"/>
            </w:pPr>
            <w:r>
              <w:rPr>
                <w:sz w:val="20"/>
              </w:rPr>
              <w:t xml:space="preserve">А.1.2.</w:t>
            </w:r>
          </w:p>
        </w:tc>
        <w:tc>
          <w:tcPr>
            <w:tcW w:w="3061" w:type="dxa"/>
          </w:tcPr>
          <w:p>
            <w:pPr>
              <w:pStyle w:val="0"/>
            </w:pPr>
            <w:r>
              <w:rPr>
                <w:sz w:val="20"/>
              </w:rPr>
              <w:t xml:space="preserve">Количество погибших в результате технической неисправности аттракционов, зарегистрированных в установленном порядке, на 100000 населения Свердловской области (А), человек</w:t>
            </w:r>
          </w:p>
        </w:tc>
        <w:tc>
          <w:tcPr>
            <w:tcW w:w="3572" w:type="dxa"/>
          </w:tcPr>
          <w:p>
            <w:pPr>
              <w:pStyle w:val="0"/>
            </w:pPr>
            <w:r>
              <w:rPr>
                <w:sz w:val="20"/>
              </w:rPr>
              <w:t xml:space="preserve">А = П</w:t>
            </w:r>
            <w:r>
              <w:rPr>
                <w:sz w:val="20"/>
                <w:vertAlign w:val="subscript"/>
              </w:rPr>
              <w:t xml:space="preserve">общ.</w:t>
            </w:r>
            <w:r>
              <w:rPr>
                <w:sz w:val="20"/>
              </w:rPr>
              <w:t xml:space="preserve"> / ЧН</w:t>
            </w:r>
            <w:r>
              <w:rPr>
                <w:sz w:val="20"/>
                <w:vertAlign w:val="subscript"/>
              </w:rPr>
              <w:t xml:space="preserve">обл.</w:t>
            </w:r>
            <w:r>
              <w:rPr>
                <w:sz w:val="20"/>
              </w:rPr>
              <w:t xml:space="preserve"> x 100000, где:</w:t>
            </w:r>
          </w:p>
          <w:p>
            <w:pPr>
              <w:pStyle w:val="0"/>
            </w:pPr>
            <w:r>
              <w:rPr>
                <w:sz w:val="20"/>
              </w:rPr>
              <w:t xml:space="preserve">П</w:t>
            </w:r>
            <w:r>
              <w:rPr>
                <w:sz w:val="20"/>
                <w:vertAlign w:val="subscript"/>
              </w:rPr>
              <w:t xml:space="preserve">общ.</w:t>
            </w:r>
            <w:r>
              <w:rPr>
                <w:sz w:val="20"/>
              </w:rPr>
              <w:t xml:space="preserve"> - число погибших в результате технической неисправности аттракционов, зарегистрированных в установленном порядке, по данным Государственной инспекции труда в Свердловской области;</w:t>
            </w:r>
          </w:p>
          <w:p>
            <w:pPr>
              <w:pStyle w:val="0"/>
            </w:pPr>
            <w:r>
              <w:rPr>
                <w:sz w:val="20"/>
              </w:rPr>
              <w:t xml:space="preserve">ЧН</w:t>
            </w:r>
            <w:r>
              <w:rPr>
                <w:sz w:val="20"/>
                <w:vertAlign w:val="subscript"/>
              </w:rPr>
              <w:t xml:space="preserve">обл.</w:t>
            </w:r>
            <w:r>
              <w:rPr>
                <w:sz w:val="20"/>
              </w:rPr>
              <w:t xml:space="preserve">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14.</w:t>
            </w:r>
          </w:p>
        </w:tc>
        <w:tc>
          <w:tcPr>
            <w:gridSpan w:val="11"/>
            <w:tcW w:w="18825" w:type="dxa"/>
          </w:tcPr>
          <w:p>
            <w:pPr>
              <w:pStyle w:val="0"/>
              <w:jc w:val="center"/>
            </w:pPr>
            <w:r>
              <w:rPr>
                <w:sz w:val="20"/>
              </w:rPr>
              <w:t xml:space="preserve">Региональный государственный строительный надзор (Департамент государственного жилищного и строительного надзора Свердловской области)</w:t>
            </w:r>
          </w:p>
        </w:tc>
      </w:tr>
      <w:tr>
        <w:tc>
          <w:tcPr>
            <w:tcW w:w="907" w:type="dxa"/>
          </w:tcPr>
          <w:p>
            <w:pPr>
              <w:pStyle w:val="0"/>
              <w:jc w:val="center"/>
            </w:pPr>
            <w:r>
              <w:rPr>
                <w:sz w:val="20"/>
              </w:rPr>
              <w:t xml:space="preserve">15.</w:t>
            </w:r>
          </w:p>
        </w:tc>
        <w:tc>
          <w:tcPr>
            <w:tcW w:w="1304" w:type="dxa"/>
          </w:tcPr>
          <w:p>
            <w:pPr>
              <w:pStyle w:val="0"/>
              <w:jc w:val="center"/>
            </w:pPr>
            <w:r>
              <w:rPr>
                <w:sz w:val="20"/>
              </w:rPr>
              <w:t xml:space="preserve">А.3.1.</w:t>
            </w:r>
          </w:p>
        </w:tc>
        <w:tc>
          <w:tcPr>
            <w:tcW w:w="3061" w:type="dxa"/>
          </w:tcPr>
          <w:p>
            <w:pPr>
              <w:pStyle w:val="0"/>
            </w:pPr>
            <w:r>
              <w:rPr>
                <w:sz w:val="20"/>
              </w:rPr>
              <w:t xml:space="preserve">Доля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от общего количества объектов, находящихся в строительном надзоре, на конец отчетного периода (Д), процентов</w:t>
            </w:r>
          </w:p>
        </w:tc>
        <w:tc>
          <w:tcPr>
            <w:tcW w:w="3572" w:type="dxa"/>
          </w:tcPr>
          <w:p>
            <w:pPr>
              <w:pStyle w:val="0"/>
            </w:pPr>
            <w:r>
              <w:rPr>
                <w:sz w:val="20"/>
              </w:rPr>
              <w:t xml:space="preserve">Д = О</w:t>
            </w:r>
            <w:r>
              <w:rPr>
                <w:sz w:val="20"/>
                <w:vertAlign w:val="subscript"/>
              </w:rPr>
              <w:t xml:space="preserve">д</w:t>
            </w:r>
            <w:r>
              <w:rPr>
                <w:sz w:val="20"/>
              </w:rPr>
              <w:t xml:space="preserve"> / О</w:t>
            </w:r>
            <w:r>
              <w:rPr>
                <w:sz w:val="20"/>
                <w:vertAlign w:val="subscript"/>
              </w:rPr>
              <w:t xml:space="preserve">ст</w:t>
            </w:r>
            <w:r>
              <w:rPr>
                <w:sz w:val="20"/>
              </w:rPr>
              <w:t xml:space="preserve"> x 100%, где:</w:t>
            </w:r>
          </w:p>
          <w:p>
            <w:pPr>
              <w:pStyle w:val="0"/>
            </w:pPr>
            <w:r>
              <w:rPr>
                <w:sz w:val="20"/>
              </w:rPr>
              <w:t xml:space="preserve">О</w:t>
            </w:r>
            <w:r>
              <w:rPr>
                <w:sz w:val="20"/>
                <w:vertAlign w:val="subscript"/>
              </w:rPr>
              <w:t xml:space="preserve">д</w:t>
            </w:r>
            <w:r>
              <w:rPr>
                <w:sz w:val="20"/>
              </w:rPr>
              <w:t xml:space="preserve"> - 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единиц;</w:t>
            </w:r>
          </w:p>
          <w:p>
            <w:pPr>
              <w:pStyle w:val="0"/>
            </w:pPr>
            <w:r>
              <w:rPr>
                <w:sz w:val="20"/>
              </w:rPr>
              <w:t xml:space="preserve">О</w:t>
            </w:r>
            <w:r>
              <w:rPr>
                <w:sz w:val="20"/>
                <w:vertAlign w:val="subscript"/>
              </w:rPr>
              <w:t xml:space="preserve">ст</w:t>
            </w:r>
            <w:r>
              <w:rPr>
                <w:sz w:val="20"/>
              </w:rPr>
              <w:t xml:space="preserve"> - общее количество объектов, находящихся в надзоре, единиц (данные Департамента государственного жилищного и строительного надзора Свердловской области, полученные при осуществлении контрольно-надзорных полномочий)</w:t>
            </w:r>
          </w:p>
        </w:tc>
        <w:tc>
          <w:tcPr>
            <w:tcW w:w="1361" w:type="dxa"/>
          </w:tcPr>
          <w:p>
            <w:pPr>
              <w:pStyle w:val="0"/>
              <w:jc w:val="center"/>
            </w:pPr>
            <w:r>
              <w:rPr>
                <w:sz w:val="20"/>
              </w:rPr>
              <w:t xml:space="preserve">не более 99% от показателя по итогам 2017 года</w:t>
            </w:r>
          </w:p>
        </w:tc>
        <w:tc>
          <w:tcPr>
            <w:tcW w:w="1361" w:type="dxa"/>
          </w:tcPr>
          <w:p>
            <w:pPr>
              <w:pStyle w:val="0"/>
              <w:jc w:val="center"/>
            </w:pPr>
            <w:r>
              <w:rPr>
                <w:sz w:val="20"/>
              </w:rPr>
              <w:t xml:space="preserve">не более 98% от показателя по итогам 2017 года</w:t>
            </w:r>
          </w:p>
        </w:tc>
        <w:tc>
          <w:tcPr>
            <w:tcW w:w="1361" w:type="dxa"/>
          </w:tcPr>
          <w:p>
            <w:pPr>
              <w:pStyle w:val="0"/>
              <w:jc w:val="center"/>
            </w:pPr>
            <w:r>
              <w:rPr>
                <w:sz w:val="20"/>
              </w:rPr>
              <w:t xml:space="preserve">не более 97% от показателя по итогам 2017 года</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r>
      <w:tr>
        <w:tc>
          <w:tcPr>
            <w:tcW w:w="907" w:type="dxa"/>
          </w:tcPr>
          <w:p>
            <w:pPr>
              <w:pStyle w:val="0"/>
              <w:jc w:val="center"/>
            </w:pPr>
            <w:r>
              <w:rPr>
                <w:sz w:val="20"/>
              </w:rPr>
              <w:t xml:space="preserve">16.</w:t>
            </w:r>
          </w:p>
        </w:tc>
        <w:tc>
          <w:tcPr>
            <w:tcW w:w="1304" w:type="dxa"/>
          </w:tcPr>
          <w:p>
            <w:pPr>
              <w:pStyle w:val="0"/>
              <w:jc w:val="center"/>
            </w:pPr>
            <w:r>
              <w:rPr>
                <w:sz w:val="20"/>
              </w:rPr>
              <w:t xml:space="preserve">А.3.2.</w:t>
            </w:r>
          </w:p>
        </w:tc>
        <w:tc>
          <w:tcPr>
            <w:tcW w:w="3061" w:type="dxa"/>
          </w:tcPr>
          <w:p>
            <w:pPr>
              <w:pStyle w:val="0"/>
            </w:pPr>
            <w:r>
              <w:rPr>
                <w:sz w:val="20"/>
              </w:rPr>
              <w:t xml:space="preserve">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которые подтверждены вступившим в законную силу решением суда, на 100 объектов, находящихся в строительном надзоре (Д), единиц</w:t>
            </w:r>
          </w:p>
        </w:tc>
        <w:tc>
          <w:tcPr>
            <w:tcW w:w="3572" w:type="dxa"/>
          </w:tcPr>
          <w:p>
            <w:pPr>
              <w:pStyle w:val="0"/>
            </w:pPr>
            <w:r>
              <w:rPr>
                <w:sz w:val="20"/>
              </w:rPr>
              <w:t xml:space="preserve">Д = О</w:t>
            </w:r>
            <w:r>
              <w:rPr>
                <w:sz w:val="20"/>
                <w:vertAlign w:val="subscript"/>
              </w:rPr>
              <w:t xml:space="preserve">д</w:t>
            </w:r>
            <w:r>
              <w:rPr>
                <w:sz w:val="20"/>
              </w:rPr>
              <w:t xml:space="preserve"> / О</w:t>
            </w:r>
            <w:r>
              <w:rPr>
                <w:sz w:val="20"/>
                <w:vertAlign w:val="subscript"/>
              </w:rPr>
              <w:t xml:space="preserve">ст</w:t>
            </w:r>
            <w:r>
              <w:rPr>
                <w:sz w:val="20"/>
              </w:rPr>
              <w:t xml:space="preserve"> x 100, где:</w:t>
            </w:r>
          </w:p>
          <w:p>
            <w:pPr>
              <w:pStyle w:val="0"/>
            </w:pPr>
            <w:r>
              <w:rPr>
                <w:sz w:val="20"/>
              </w:rPr>
              <w:t xml:space="preserve">О</w:t>
            </w:r>
            <w:r>
              <w:rPr>
                <w:sz w:val="20"/>
                <w:vertAlign w:val="subscript"/>
              </w:rPr>
              <w:t xml:space="preserve">д</w:t>
            </w:r>
            <w:r>
              <w:rPr>
                <w:sz w:val="20"/>
              </w:rPr>
              <w:t xml:space="preserve"> - 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которые подтверждены вступившим в законную силу решением суда, единиц;</w:t>
            </w:r>
          </w:p>
          <w:p>
            <w:pPr>
              <w:pStyle w:val="0"/>
            </w:pPr>
            <w:r>
              <w:rPr>
                <w:sz w:val="20"/>
              </w:rPr>
              <w:t xml:space="preserve">О</w:t>
            </w:r>
            <w:r>
              <w:rPr>
                <w:sz w:val="20"/>
                <w:vertAlign w:val="subscript"/>
              </w:rPr>
              <w:t xml:space="preserve">ст</w:t>
            </w:r>
            <w:r>
              <w:rPr>
                <w:sz w:val="20"/>
              </w:rPr>
              <w:t xml:space="preserve"> - общее количество объектов, находящихся в надзоре, единиц (данные Департамента государственного жилищного и строительного надзора Свердловской области, полученные при осуществлении контрольно-надзорных полномочий)</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17.</w:t>
            </w:r>
          </w:p>
        </w:tc>
        <w:tc>
          <w:tcPr>
            <w:gridSpan w:val="11"/>
            <w:tcW w:w="18825" w:type="dxa"/>
          </w:tcPr>
          <w:p>
            <w:pPr>
              <w:pStyle w:val="0"/>
              <w:jc w:val="center"/>
            </w:pPr>
            <w:r>
              <w:rPr>
                <w:sz w:val="20"/>
              </w:rPr>
              <w:t xml:space="preserve">Региональный государственный контроль (надзор) в области долевого строительства многоквартирных домов и (или) иных объектов недвижимости (Департамент государственного жилищного и строительного надзора Свердловской области)</w:t>
            </w:r>
          </w:p>
        </w:tc>
      </w:tr>
      <w:tr>
        <w:tc>
          <w:tcPr>
            <w:tcW w:w="907" w:type="dxa"/>
          </w:tcPr>
          <w:p>
            <w:pPr>
              <w:pStyle w:val="0"/>
              <w:jc w:val="center"/>
            </w:pPr>
            <w:r>
              <w:rPr>
                <w:sz w:val="20"/>
              </w:rPr>
              <w:t xml:space="preserve">18.</w:t>
            </w:r>
          </w:p>
        </w:tc>
        <w:tc>
          <w:tcPr>
            <w:tcW w:w="1304" w:type="dxa"/>
          </w:tcPr>
          <w:p>
            <w:pPr>
              <w:pStyle w:val="0"/>
              <w:jc w:val="center"/>
            </w:pPr>
            <w:r>
              <w:rPr>
                <w:sz w:val="20"/>
              </w:rPr>
              <w:t xml:space="preserve">А.3.1.</w:t>
            </w:r>
          </w:p>
        </w:tc>
        <w:tc>
          <w:tcPr>
            <w:tcW w:w="3061" w:type="dxa"/>
          </w:tcPr>
          <w:p>
            <w:pPr>
              <w:pStyle w:val="0"/>
            </w:pPr>
            <w:r>
              <w:rPr>
                <w:sz w:val="20"/>
              </w:rPr>
              <w:t xml:space="preserve">Доля объектов, при строительстве которых установлены факты нецелевого использования денежных средств участников долевого строительства (Д), процентов</w:t>
            </w:r>
          </w:p>
        </w:tc>
        <w:tc>
          <w:tcPr>
            <w:tcW w:w="3572" w:type="dxa"/>
          </w:tcPr>
          <w:p>
            <w:pPr>
              <w:pStyle w:val="0"/>
            </w:pPr>
            <w:r>
              <w:rPr>
                <w:sz w:val="20"/>
              </w:rPr>
              <w:t xml:space="preserve">Д = О</w:t>
            </w:r>
            <w:r>
              <w:rPr>
                <w:sz w:val="20"/>
                <w:vertAlign w:val="subscript"/>
              </w:rPr>
              <w:t xml:space="preserve">н</w:t>
            </w:r>
            <w:r>
              <w:rPr>
                <w:sz w:val="20"/>
              </w:rPr>
              <w:t xml:space="preserve"> / О</w:t>
            </w:r>
            <w:r>
              <w:rPr>
                <w:sz w:val="20"/>
                <w:vertAlign w:val="subscript"/>
              </w:rPr>
              <w:t xml:space="preserve">дол</w:t>
            </w:r>
            <w:r>
              <w:rPr>
                <w:sz w:val="20"/>
              </w:rPr>
              <w:t xml:space="preserve"> x 100%, где:</w:t>
            </w:r>
          </w:p>
          <w:p>
            <w:pPr>
              <w:pStyle w:val="0"/>
            </w:pPr>
            <w:r>
              <w:rPr>
                <w:sz w:val="20"/>
              </w:rPr>
              <w:t xml:space="preserve">О</w:t>
            </w:r>
            <w:r>
              <w:rPr>
                <w:sz w:val="20"/>
                <w:vertAlign w:val="subscript"/>
              </w:rPr>
              <w:t xml:space="preserve">н</w:t>
            </w:r>
            <w:r>
              <w:rPr>
                <w:sz w:val="20"/>
              </w:rPr>
              <w:t xml:space="preserve"> - количество объектов, при строительстве которых установлены факты нецелевого использования денежных средств участников долевого строительства, единиц;</w:t>
            </w:r>
          </w:p>
          <w:p>
            <w:pPr>
              <w:pStyle w:val="0"/>
            </w:pPr>
            <w:r>
              <w:rPr>
                <w:sz w:val="20"/>
              </w:rPr>
              <w:t xml:space="preserve">О</w:t>
            </w:r>
            <w:r>
              <w:rPr>
                <w:sz w:val="20"/>
                <w:vertAlign w:val="subscript"/>
              </w:rPr>
              <w:t xml:space="preserve">дол</w:t>
            </w:r>
            <w:r>
              <w:rPr>
                <w:sz w:val="20"/>
              </w:rPr>
              <w:t xml:space="preserve"> - общее количество объектов, находящихся в надзоре, единиц (статистические данные Департамента государственного жилищного и строительного надзора Свердловской области, полученные при осуществлении контрольно-надзорных полномочий)</w:t>
            </w:r>
          </w:p>
        </w:tc>
        <w:tc>
          <w:tcPr>
            <w:tcW w:w="1361" w:type="dxa"/>
          </w:tcPr>
          <w:p>
            <w:pPr>
              <w:pStyle w:val="0"/>
              <w:jc w:val="center"/>
            </w:pPr>
            <w:r>
              <w:rPr>
                <w:sz w:val="20"/>
              </w:rPr>
              <w:t xml:space="preserve">не более 99% от показателя по итогам 2017 года</w:t>
            </w:r>
          </w:p>
        </w:tc>
        <w:tc>
          <w:tcPr>
            <w:tcW w:w="1361" w:type="dxa"/>
          </w:tcPr>
          <w:p>
            <w:pPr>
              <w:pStyle w:val="0"/>
              <w:jc w:val="center"/>
            </w:pPr>
            <w:r>
              <w:rPr>
                <w:sz w:val="20"/>
              </w:rPr>
              <w:t xml:space="preserve">не более 98% от показателя по итогам 2017 года</w:t>
            </w:r>
          </w:p>
        </w:tc>
        <w:tc>
          <w:tcPr>
            <w:tcW w:w="1361" w:type="dxa"/>
          </w:tcPr>
          <w:p>
            <w:pPr>
              <w:pStyle w:val="0"/>
              <w:jc w:val="center"/>
            </w:pPr>
            <w:r>
              <w:rPr>
                <w:sz w:val="20"/>
              </w:rPr>
              <w:t xml:space="preserve">не более 1,9%</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r>
      <w:tr>
        <w:tc>
          <w:tcPr>
            <w:tcW w:w="907" w:type="dxa"/>
          </w:tcPr>
          <w:p>
            <w:pPr>
              <w:pStyle w:val="0"/>
              <w:jc w:val="center"/>
            </w:pPr>
            <w:r>
              <w:rPr>
                <w:sz w:val="20"/>
              </w:rPr>
              <w:t xml:space="preserve">19.</w:t>
            </w:r>
          </w:p>
        </w:tc>
        <w:tc>
          <w:tcPr>
            <w:tcW w:w="1304" w:type="dxa"/>
          </w:tcPr>
          <w:p>
            <w:pPr>
              <w:pStyle w:val="0"/>
              <w:jc w:val="center"/>
            </w:pPr>
            <w:r>
              <w:rPr>
                <w:sz w:val="20"/>
              </w:rPr>
              <w:t xml:space="preserve">А.3.2.</w:t>
            </w:r>
          </w:p>
        </w:tc>
        <w:tc>
          <w:tcPr>
            <w:tcW w:w="3061" w:type="dxa"/>
          </w:tcPr>
          <w:p>
            <w:pPr>
              <w:pStyle w:val="0"/>
            </w:pPr>
            <w:r>
              <w:rPr>
                <w:sz w:val="20"/>
              </w:rPr>
              <w:t xml:space="preserve">Доля проектных деклараций, размещенных в Единой информационной системе жилищного строительства, от общего количества объектов контроля, за исключением объектов контроля, включенных в Единый реестр проблемных объектов (ДДН), процентов</w:t>
            </w:r>
          </w:p>
        </w:tc>
        <w:tc>
          <w:tcPr>
            <w:tcW w:w="3572" w:type="dxa"/>
          </w:tcPr>
          <w:p>
            <w:pPr>
              <w:pStyle w:val="0"/>
            </w:pPr>
            <w:r>
              <w:rPr>
                <w:sz w:val="20"/>
              </w:rPr>
              <w:t xml:space="preserve">ДДН = ОК / ПД x 100%, где:</w:t>
            </w:r>
          </w:p>
          <w:p>
            <w:pPr>
              <w:pStyle w:val="0"/>
            </w:pPr>
            <w:r>
              <w:rPr>
                <w:sz w:val="20"/>
              </w:rPr>
              <w:t xml:space="preserve">ОК - количество объектов контроля, за исключением объектов контроля, включенных в Единый реестр проблемных объектов, единиц;</w:t>
            </w:r>
          </w:p>
          <w:p>
            <w:pPr>
              <w:pStyle w:val="0"/>
            </w:pPr>
            <w:r>
              <w:rPr>
                <w:sz w:val="20"/>
              </w:rPr>
              <w:t xml:space="preserve">ПД - количество проектных деклараций, размещенных в Единой информационной системе жилищного строительства, 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r>
      <w:tr>
        <w:tc>
          <w:tcPr>
            <w:tcW w:w="907" w:type="dxa"/>
          </w:tcPr>
          <w:p>
            <w:pPr>
              <w:pStyle w:val="0"/>
              <w:jc w:val="center"/>
            </w:pPr>
            <w:r>
              <w:rPr>
                <w:sz w:val="20"/>
              </w:rPr>
              <w:t xml:space="preserve">20.</w:t>
            </w:r>
          </w:p>
        </w:tc>
        <w:tc>
          <w:tcPr>
            <w:gridSpan w:val="11"/>
            <w:tcW w:w="18825" w:type="dxa"/>
          </w:tcPr>
          <w:p>
            <w:pPr>
              <w:pStyle w:val="0"/>
              <w:jc w:val="center"/>
            </w:pPr>
            <w:r>
              <w:rPr>
                <w:sz w:val="20"/>
              </w:rPr>
              <w:t xml:space="preserve">Лицензионный контроль предпринимательской деятельности по управлению многоквартирными домами (Департамент государственного жилищного и строительного надзора Свердловской области)</w:t>
            </w:r>
          </w:p>
        </w:tc>
      </w:tr>
      <w:tr>
        <w:tc>
          <w:tcPr>
            <w:tcW w:w="907" w:type="dxa"/>
          </w:tcPr>
          <w:p>
            <w:pPr>
              <w:pStyle w:val="0"/>
              <w:jc w:val="center"/>
            </w:pPr>
            <w:r>
              <w:rPr>
                <w:sz w:val="20"/>
              </w:rPr>
              <w:t xml:space="preserve">21.</w:t>
            </w:r>
          </w:p>
        </w:tc>
        <w:tc>
          <w:tcPr>
            <w:tcW w:w="1304" w:type="dxa"/>
          </w:tcPr>
          <w:p>
            <w:pPr>
              <w:pStyle w:val="0"/>
              <w:jc w:val="center"/>
            </w:pPr>
            <w:r>
              <w:rPr>
                <w:sz w:val="20"/>
              </w:rPr>
              <w:t xml:space="preserve">А.3.2.</w:t>
            </w:r>
          </w:p>
        </w:tc>
        <w:tc>
          <w:tcPr>
            <w:tcW w:w="3061" w:type="dxa"/>
          </w:tcPr>
          <w:p>
            <w:pPr>
              <w:pStyle w:val="0"/>
            </w:pPr>
            <w:r>
              <w:rPr>
                <w:sz w:val="20"/>
              </w:rPr>
              <w:t xml:space="preserve">Количество погибших в результате происшествий, произошедших вследствие нарушений управляющими организациями/лицензиатами лицензионных требований, которые подтверждены вступившим в законную силу решением суда, на 100000 населения Свердловской области (П</w:t>
            </w:r>
            <w:r>
              <w:rPr>
                <w:sz w:val="20"/>
                <w:vertAlign w:val="subscript"/>
              </w:rPr>
              <w:t xml:space="preserve">л</w:t>
            </w:r>
            <w:r>
              <w:rPr>
                <w:sz w:val="20"/>
              </w:rPr>
              <w:t xml:space="preserve">), человек</w:t>
            </w:r>
          </w:p>
        </w:tc>
        <w:tc>
          <w:tcPr>
            <w:tcW w:w="3572" w:type="dxa"/>
          </w:tcPr>
          <w:p>
            <w:pPr>
              <w:pStyle w:val="0"/>
            </w:pPr>
            <w:r>
              <w:rPr>
                <w:sz w:val="20"/>
              </w:rPr>
              <w:t xml:space="preserve">П</w:t>
            </w:r>
            <w:r>
              <w:rPr>
                <w:sz w:val="20"/>
                <w:vertAlign w:val="subscript"/>
              </w:rPr>
              <w:t xml:space="preserve">л</w:t>
            </w:r>
            <w:r>
              <w:rPr>
                <w:sz w:val="20"/>
              </w:rPr>
              <w:t xml:space="preserve"> = К</w:t>
            </w:r>
            <w:r>
              <w:rPr>
                <w:sz w:val="20"/>
                <w:vertAlign w:val="subscript"/>
              </w:rPr>
              <w:t xml:space="preserve">п</w:t>
            </w:r>
            <w:r>
              <w:rPr>
                <w:sz w:val="20"/>
              </w:rPr>
              <w:t xml:space="preserve"> / Ч x 100000, где:</w:t>
            </w:r>
          </w:p>
          <w:p>
            <w:pPr>
              <w:pStyle w:val="0"/>
            </w:pPr>
            <w:r>
              <w:rPr>
                <w:sz w:val="20"/>
              </w:rPr>
              <w:t xml:space="preserve">К</w:t>
            </w:r>
            <w:r>
              <w:rPr>
                <w:sz w:val="20"/>
                <w:vertAlign w:val="subscript"/>
              </w:rPr>
              <w:t xml:space="preserve">п</w:t>
            </w:r>
            <w:r>
              <w:rPr>
                <w:sz w:val="20"/>
              </w:rPr>
              <w:t xml:space="preserve"> - количество погибших в результате происшествий, произошедших вследствие нарушений управляющими организациями/лицензиатами лицензионных требований, которые подтверждены вступившим в законную силу решением суда, человек;</w:t>
            </w:r>
          </w:p>
          <w:p>
            <w:pPr>
              <w:pStyle w:val="0"/>
            </w:pPr>
            <w:r>
              <w:rPr>
                <w:sz w:val="20"/>
              </w:rPr>
              <w:t xml:space="preserve">Ч - численность населения Свердловской области, человек (статистические данные Департамента государственного жилищного и строительного надзора Свердловской области, полученные при осуществлении лицензионного контроля предпринимательской деятельности по управлению многоквартирными домами, данные Управления Федеральной службы государственной статистики по Свердловской области и Курганской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22.</w:t>
            </w:r>
          </w:p>
        </w:tc>
        <w:tc>
          <w:tcPr>
            <w:gridSpan w:val="11"/>
            <w:tcW w:w="18825" w:type="dxa"/>
          </w:tcPr>
          <w:p>
            <w:pPr>
              <w:pStyle w:val="0"/>
              <w:jc w:val="center"/>
            </w:pPr>
            <w:r>
              <w:rPr>
                <w:sz w:val="20"/>
              </w:rPr>
              <w:t xml:space="preserve">Региональный государственный жилищный надзор (Департамент государственного жилищного и строительного надзора Свердловской области)</w:t>
            </w:r>
          </w:p>
        </w:tc>
      </w:tr>
      <w:tr>
        <w:tc>
          <w:tcPr>
            <w:tcW w:w="907" w:type="dxa"/>
          </w:tcPr>
          <w:p>
            <w:pPr>
              <w:pStyle w:val="0"/>
              <w:jc w:val="center"/>
            </w:pPr>
            <w:r>
              <w:rPr>
                <w:sz w:val="20"/>
              </w:rPr>
              <w:t xml:space="preserve">23.</w:t>
            </w:r>
          </w:p>
        </w:tc>
        <w:tc>
          <w:tcPr>
            <w:tcW w:w="1304" w:type="dxa"/>
          </w:tcPr>
          <w:p>
            <w:pPr>
              <w:pStyle w:val="0"/>
              <w:jc w:val="center"/>
            </w:pPr>
            <w:r>
              <w:rPr>
                <w:sz w:val="20"/>
              </w:rPr>
              <w:t xml:space="preserve">А.3.2.</w:t>
            </w:r>
          </w:p>
        </w:tc>
        <w:tc>
          <w:tcPr>
            <w:tcW w:w="3061" w:type="dxa"/>
          </w:tcPr>
          <w:p>
            <w:pPr>
              <w:pStyle w:val="0"/>
            </w:pPr>
            <w:r>
              <w:rPr>
                <w:sz w:val="20"/>
              </w:rPr>
              <w:t xml:space="preserve">Количество погибших в результате происшествий, произошедших вследствие нарушений требований жилищного законодательства Российской Федерации, которые подтверждены вступившим в законную силу решением суда, на 100000 населения Свердловской области (П</w:t>
            </w:r>
            <w:r>
              <w:rPr>
                <w:sz w:val="20"/>
                <w:vertAlign w:val="subscript"/>
              </w:rPr>
              <w:t xml:space="preserve">ж</w:t>
            </w:r>
            <w:r>
              <w:rPr>
                <w:sz w:val="20"/>
              </w:rPr>
              <w:t xml:space="preserve">), человек</w:t>
            </w:r>
          </w:p>
        </w:tc>
        <w:tc>
          <w:tcPr>
            <w:tcW w:w="3572" w:type="dxa"/>
          </w:tcPr>
          <w:p>
            <w:pPr>
              <w:pStyle w:val="0"/>
            </w:pPr>
            <w:r>
              <w:rPr>
                <w:sz w:val="20"/>
              </w:rPr>
              <w:t xml:space="preserve">П</w:t>
            </w:r>
            <w:r>
              <w:rPr>
                <w:sz w:val="20"/>
                <w:vertAlign w:val="subscript"/>
              </w:rPr>
              <w:t xml:space="preserve">ж</w:t>
            </w:r>
            <w:r>
              <w:rPr>
                <w:sz w:val="20"/>
              </w:rPr>
              <w:t xml:space="preserve"> = К</w:t>
            </w:r>
            <w:r>
              <w:rPr>
                <w:sz w:val="20"/>
                <w:vertAlign w:val="subscript"/>
              </w:rPr>
              <w:t xml:space="preserve">п</w:t>
            </w:r>
            <w:r>
              <w:rPr>
                <w:sz w:val="20"/>
              </w:rPr>
              <w:t xml:space="preserve"> / Ч x 100000, где:</w:t>
            </w:r>
          </w:p>
          <w:p>
            <w:pPr>
              <w:pStyle w:val="0"/>
            </w:pPr>
            <w:r>
              <w:rPr>
                <w:sz w:val="20"/>
              </w:rPr>
              <w:t xml:space="preserve">К</w:t>
            </w:r>
            <w:r>
              <w:rPr>
                <w:sz w:val="20"/>
                <w:vertAlign w:val="subscript"/>
              </w:rPr>
              <w:t xml:space="preserve">п</w:t>
            </w:r>
            <w:r>
              <w:rPr>
                <w:sz w:val="20"/>
              </w:rPr>
              <w:t xml:space="preserve"> - количество погибших в результате происшествий, произошедших вследствие нарушений требований жилищного законодательства Российской Федерации, которые подтверждены вступившим в законную силу решением суда, человек;</w:t>
            </w:r>
          </w:p>
          <w:p>
            <w:pPr>
              <w:pStyle w:val="0"/>
            </w:pPr>
            <w:r>
              <w:rPr>
                <w:sz w:val="20"/>
              </w:rPr>
              <w:t xml:space="preserve">Ч - численность населения Свердловской области, человек (статистические данные Департамента государственного жилищного и строительного надзора Свердловской области, полученные при осуществлении лицензионного контроля предпринимательской деятельности по управлению многоквартирными домами, данные Управления Федеральной службы государственной статистики по Свердловской области и Курганской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24.</w:t>
            </w:r>
          </w:p>
        </w:tc>
        <w:tc>
          <w:tcPr>
            <w:gridSpan w:val="11"/>
            <w:tcW w:w="18825" w:type="dxa"/>
          </w:tcPr>
          <w:p>
            <w:pPr>
              <w:pStyle w:val="0"/>
              <w:jc w:val="center"/>
            </w:pPr>
            <w:r>
              <w:rPr>
                <w:sz w:val="20"/>
              </w:rPr>
              <w:t xml:space="preserve">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(Департамент государственного жилищного и строительного надзора Свердловской области)</w:t>
            </w:r>
          </w:p>
        </w:tc>
      </w:tr>
      <w:tr>
        <w:tc>
          <w:tcPr>
            <w:tcW w:w="907" w:type="dxa"/>
          </w:tcPr>
          <w:p>
            <w:pPr>
              <w:pStyle w:val="0"/>
              <w:jc w:val="center"/>
            </w:pPr>
            <w:r>
              <w:rPr>
                <w:sz w:val="20"/>
              </w:rPr>
              <w:t xml:space="preserve">25.</w:t>
            </w:r>
          </w:p>
        </w:tc>
        <w:tc>
          <w:tcPr>
            <w:tcW w:w="1304" w:type="dxa"/>
          </w:tcPr>
          <w:p>
            <w:pPr>
              <w:pStyle w:val="0"/>
              <w:jc w:val="center"/>
            </w:pPr>
            <w:r>
              <w:rPr>
                <w:sz w:val="20"/>
              </w:rPr>
              <w:t xml:space="preserve">А.3.1.</w:t>
            </w:r>
          </w:p>
        </w:tc>
        <w:tc>
          <w:tcPr>
            <w:tcW w:w="3061" w:type="dxa"/>
          </w:tcPr>
          <w:p>
            <w:pPr>
              <w:pStyle w:val="0"/>
            </w:pPr>
            <w:r>
              <w:rPr>
                <w:sz w:val="20"/>
              </w:rPr>
              <w:t xml:space="preserve">Доля проектных деклараций, размещенных в Единой информационной системе жилищного строительства, от общего количества объектов контроля, за исключением объектов контроля, включенных в Единый реестр проблемных объектов (ДЖСК), процентов</w:t>
            </w:r>
          </w:p>
        </w:tc>
        <w:tc>
          <w:tcPr>
            <w:tcW w:w="3572" w:type="dxa"/>
          </w:tcPr>
          <w:p>
            <w:pPr>
              <w:pStyle w:val="0"/>
            </w:pPr>
            <w:r>
              <w:rPr>
                <w:sz w:val="20"/>
              </w:rPr>
              <w:t xml:space="preserve">ДЖСК = ОК / ПД x 100%, где:</w:t>
            </w:r>
          </w:p>
          <w:p>
            <w:pPr>
              <w:pStyle w:val="0"/>
            </w:pPr>
            <w:r>
              <w:rPr>
                <w:sz w:val="20"/>
              </w:rPr>
              <w:t xml:space="preserve">ОК - количество объектов контроля, за исключением объектов контроля, включенных в Единый реестр проблемных объектов, единиц;</w:t>
            </w:r>
          </w:p>
          <w:p>
            <w:pPr>
              <w:pStyle w:val="0"/>
            </w:pPr>
            <w:r>
              <w:rPr>
                <w:sz w:val="20"/>
              </w:rPr>
              <w:t xml:space="preserve">ПД - количество проектных деклараций, размещенных в Единой информационной системе жилищного строительства, 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r>
      <w:tr>
        <w:tc>
          <w:tcPr>
            <w:tcW w:w="907" w:type="dxa"/>
          </w:tcPr>
          <w:p>
            <w:pPr>
              <w:pStyle w:val="0"/>
              <w:jc w:val="center"/>
            </w:pPr>
            <w:r>
              <w:rPr>
                <w:sz w:val="20"/>
              </w:rPr>
              <w:t xml:space="preserve">26.</w:t>
            </w:r>
          </w:p>
        </w:tc>
        <w:tc>
          <w:tcPr>
            <w:gridSpan w:val="11"/>
            <w:tcW w:w="18825" w:type="dxa"/>
          </w:tcPr>
          <w:p>
            <w:pPr>
              <w:pStyle w:val="0"/>
              <w:jc w:val="center"/>
            </w:pPr>
            <w:r>
              <w:rPr>
                <w:sz w:val="20"/>
              </w:rPr>
              <w:t xml:space="preserve">Региональный государственный контроль (надзор) в сфере перевозок пассажиров и багажа легковым такси (Министерство транспорта и дорожного хозяйства Свердловской области)</w:t>
            </w:r>
          </w:p>
        </w:tc>
      </w:tr>
      <w:tr>
        <w:tc>
          <w:tcPr>
            <w:tcW w:w="907" w:type="dxa"/>
          </w:tcPr>
          <w:p>
            <w:pPr>
              <w:pStyle w:val="0"/>
              <w:jc w:val="center"/>
            </w:pPr>
            <w:r>
              <w:rPr>
                <w:sz w:val="20"/>
              </w:rPr>
              <w:t xml:space="preserve">27.</w:t>
            </w:r>
          </w:p>
        </w:tc>
        <w:tc>
          <w:tcPr>
            <w:tcW w:w="1304" w:type="dxa"/>
          </w:tcPr>
          <w:p>
            <w:pPr>
              <w:pStyle w:val="0"/>
              <w:jc w:val="center"/>
            </w:pPr>
            <w:r>
              <w:rPr>
                <w:sz w:val="20"/>
              </w:rPr>
              <w:t xml:space="preserve">А.1.</w:t>
            </w:r>
          </w:p>
        </w:tc>
        <w:tc>
          <w:tcPr>
            <w:tcW w:w="3061" w:type="dxa"/>
          </w:tcPr>
          <w:p>
            <w:pPr>
              <w:pStyle w:val="0"/>
            </w:pPr>
            <w:r>
              <w:rPr>
                <w:sz w:val="20"/>
              </w:rPr>
              <w:t xml:space="preserve">Доля случаев (на 100000 населения Свердловской области), при которых нанесен вред здоровью граждан по причине нарушения перевозчиками требований </w:t>
            </w:r>
            <w:hyperlink w:history="0" r:id="rId4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4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 "О внесении изменений в отдельные законодательные акты Российской Федерации" (далее - Федеральный закон от 21 апреля 2011 года N 69-ФЗ), относительно численности населения Свердловской области в отчетном периоде (X), процентов</w:t>
            </w:r>
          </w:p>
        </w:tc>
        <w:tc>
          <w:tcPr>
            <w:tcW w:w="3572" w:type="dxa"/>
          </w:tcPr>
          <w:p>
            <w:pPr>
              <w:pStyle w:val="0"/>
            </w:pPr>
            <w:r>
              <w:rPr>
                <w:sz w:val="20"/>
              </w:rPr>
              <w:t xml:space="preserve">X = A / B x 100000, где:</w:t>
            </w:r>
          </w:p>
          <w:p>
            <w:pPr>
              <w:pStyle w:val="0"/>
            </w:pPr>
            <w:r>
              <w:rPr>
                <w:sz w:val="20"/>
              </w:rPr>
              <w:t xml:space="preserve">A - количество случаев, при которых нанесен вред здоровью граждан по причине нарушения перевозчиками требований </w:t>
            </w:r>
            <w:hyperlink w:history="0" r:id="rId4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4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w:t>
            </w:r>
          </w:p>
          <w:p>
            <w:pPr>
              <w:pStyle w:val="0"/>
            </w:pPr>
            <w:r>
              <w:rPr>
                <w:sz w:val="20"/>
              </w:rPr>
              <w:t xml:space="preserve">B - численность населения Свердловской области в отчетном периоде.</w:t>
            </w:r>
          </w:p>
          <w:p>
            <w:pPr>
              <w:pStyle w:val="0"/>
            </w:pPr>
            <w:r>
              <w:rPr>
                <w:sz w:val="20"/>
              </w:rPr>
              <w:t xml:space="preserve">Показатель рассчитывается при условии представления УГИБДД ГУ МВД России по Свердловской области данных о количестве случаев, при которых нанесен вред здоровью граждан по причине нарушения перевозчиками требований </w:t>
            </w:r>
            <w:hyperlink w:history="0" r:id="rId4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5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w:t>
            </w:r>
          </w:p>
        </w:tc>
        <w:tc>
          <w:tcPr>
            <w:tcW w:w="1361" w:type="dxa"/>
          </w:tcPr>
          <w:p>
            <w:pPr>
              <w:pStyle w:val="0"/>
              <w:jc w:val="center"/>
            </w:pPr>
            <w:r>
              <w:rPr>
                <w:sz w:val="20"/>
              </w:rPr>
              <w:t xml:space="preserve">не более 0,5%</w:t>
            </w:r>
          </w:p>
        </w:tc>
        <w:tc>
          <w:tcPr>
            <w:tcW w:w="1361" w:type="dxa"/>
          </w:tcPr>
          <w:p>
            <w:pPr>
              <w:pStyle w:val="0"/>
              <w:jc w:val="center"/>
            </w:pPr>
            <w:r>
              <w:rPr>
                <w:sz w:val="20"/>
              </w:rPr>
              <w:t xml:space="preserve">не более 0,5%</w:t>
            </w:r>
          </w:p>
        </w:tc>
        <w:tc>
          <w:tcPr>
            <w:tcW w:w="1361" w:type="dxa"/>
          </w:tcPr>
          <w:p>
            <w:pPr>
              <w:pStyle w:val="0"/>
              <w:jc w:val="center"/>
            </w:pPr>
            <w:r>
              <w:rPr>
                <w:sz w:val="20"/>
              </w:rPr>
              <w:t xml:space="preserve">не более 0,25%</w:t>
            </w:r>
          </w:p>
        </w:tc>
        <w:tc>
          <w:tcPr>
            <w:tcW w:w="1361" w:type="dxa"/>
          </w:tcPr>
          <w:p>
            <w:pPr>
              <w:pStyle w:val="0"/>
              <w:jc w:val="center"/>
            </w:pPr>
            <w:r>
              <w:rPr>
                <w:sz w:val="20"/>
              </w:rPr>
              <w:t xml:space="preserve">не более 0,25%</w:t>
            </w:r>
          </w:p>
        </w:tc>
        <w:tc>
          <w:tcPr>
            <w:tcW w:w="1361" w:type="dxa"/>
          </w:tcPr>
          <w:p>
            <w:pPr>
              <w:pStyle w:val="0"/>
              <w:jc w:val="center"/>
            </w:pPr>
            <w:r>
              <w:rPr>
                <w:sz w:val="20"/>
              </w:rPr>
              <w:t xml:space="preserve">не более 0,25%</w:t>
            </w:r>
          </w:p>
        </w:tc>
        <w:tc>
          <w:tcPr>
            <w:tcW w:w="1361" w:type="dxa"/>
          </w:tcPr>
          <w:p>
            <w:pPr>
              <w:pStyle w:val="0"/>
              <w:jc w:val="center"/>
            </w:pPr>
            <w:r>
              <w:rPr>
                <w:sz w:val="20"/>
              </w:rPr>
              <w:t xml:space="preserve">не более 0,25%</w:t>
            </w:r>
          </w:p>
        </w:tc>
        <w:tc>
          <w:tcPr>
            <w:tcW w:w="1361" w:type="dxa"/>
          </w:tcPr>
          <w:p>
            <w:pPr>
              <w:pStyle w:val="0"/>
              <w:jc w:val="center"/>
            </w:pPr>
            <w:r>
              <w:rPr>
                <w:sz w:val="20"/>
              </w:rPr>
              <w:t xml:space="preserve">не более 0,25%</w:t>
            </w:r>
          </w:p>
        </w:tc>
        <w:tc>
          <w:tcPr>
            <w:tcW w:w="1361" w:type="dxa"/>
          </w:tcPr>
          <w:p>
            <w:pPr>
              <w:pStyle w:val="0"/>
              <w:jc w:val="center"/>
            </w:pPr>
            <w:r>
              <w:rPr>
                <w:sz w:val="20"/>
              </w:rPr>
              <w:t xml:space="preserve">не более 0,25%</w:t>
            </w:r>
          </w:p>
        </w:tc>
      </w:tr>
      <w:tr>
        <w:tc>
          <w:tcPr>
            <w:tcW w:w="907" w:type="dxa"/>
          </w:tcPr>
          <w:p>
            <w:pPr>
              <w:pStyle w:val="0"/>
              <w:jc w:val="center"/>
            </w:pPr>
            <w:r>
              <w:rPr>
                <w:sz w:val="20"/>
              </w:rPr>
              <w:t xml:space="preserve">28.</w:t>
            </w:r>
          </w:p>
        </w:tc>
        <w:tc>
          <w:tcPr>
            <w:gridSpan w:val="11"/>
            <w:tcW w:w="18825" w:type="dxa"/>
          </w:tcPr>
          <w:p>
            <w:pPr>
              <w:pStyle w:val="0"/>
              <w:jc w:val="center"/>
            </w:pPr>
            <w:r>
              <w:rPr>
                <w:sz w:val="20"/>
              </w:rPr>
              <w:t xml:space="preserve">Региональный государственный контроль (надзор) на автомобильном транспорте, городском, наземном, электрическом транспорте и в дорожном хозяйстве (Министерство транспорта и дорожного хозяйства Свердловской области)</w:t>
            </w:r>
          </w:p>
        </w:tc>
      </w:tr>
      <w:tr>
        <w:tc>
          <w:tcPr>
            <w:tcW w:w="907" w:type="dxa"/>
          </w:tcPr>
          <w:p>
            <w:pPr>
              <w:pStyle w:val="0"/>
              <w:jc w:val="center"/>
            </w:pPr>
            <w:r>
              <w:rPr>
                <w:sz w:val="20"/>
              </w:rPr>
              <w:t xml:space="preserve">29.</w:t>
            </w:r>
          </w:p>
        </w:tc>
        <w:tc>
          <w:tcPr>
            <w:tcW w:w="1304" w:type="dxa"/>
          </w:tcPr>
          <w:p>
            <w:pPr>
              <w:pStyle w:val="0"/>
              <w:jc w:val="center"/>
            </w:pPr>
            <w:r>
              <w:rPr>
                <w:sz w:val="20"/>
              </w:rPr>
              <w:t xml:space="preserve">А.3.</w:t>
            </w:r>
          </w:p>
        </w:tc>
        <w:tc>
          <w:tcPr>
            <w:tcW w:w="3061" w:type="dxa"/>
          </w:tcPr>
          <w:p>
            <w:pPr>
              <w:pStyle w:val="0"/>
            </w:pPr>
            <w:r>
              <w:rPr>
                <w:sz w:val="20"/>
              </w:rPr>
              <w:t xml:space="preserve">Доля примыканий объектов дорожного сервиса к автомобильным дорогам регионального или межмуниципального значения Свердловской области, введенных в эксплуатацию и соответствующих требованиям технических условий, от общего количества объектов дорожного сервиса, имеющих примыкание к автомобильным дорогам (К), процентов</w:t>
            </w:r>
          </w:p>
        </w:tc>
        <w:tc>
          <w:tcPr>
            <w:tcW w:w="3572" w:type="dxa"/>
          </w:tcPr>
          <w:p>
            <w:pPr>
              <w:pStyle w:val="0"/>
            </w:pPr>
            <w:r>
              <w:rPr>
                <w:sz w:val="20"/>
              </w:rPr>
              <w:t xml:space="preserve">К = H / R x 100%, где:</w:t>
            </w:r>
          </w:p>
          <w:p>
            <w:pPr>
              <w:pStyle w:val="0"/>
            </w:pPr>
            <w:r>
              <w:rPr>
                <w:sz w:val="20"/>
              </w:rPr>
              <w:t xml:space="preserve">H - количество примыканий объектов дорожного сервиса к автомобильным дорогам регионального и межмуниципального значения Свердловской области, введенных в эксплуатацию и соответствующих требованиям технических условий;</w:t>
            </w:r>
          </w:p>
          <w:p>
            <w:pPr>
              <w:pStyle w:val="0"/>
            </w:pPr>
            <w:r>
              <w:rPr>
                <w:sz w:val="20"/>
              </w:rPr>
              <w:t xml:space="preserve">R - общее количество объектов дорожного сервиса, имеющих примыкание к автомобильным дорогам регионального и межмуниципального значения Свердловской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менее 17,0%</w:t>
            </w:r>
          </w:p>
        </w:tc>
        <w:tc>
          <w:tcPr>
            <w:tcW w:w="1361" w:type="dxa"/>
          </w:tcPr>
          <w:p>
            <w:pPr>
              <w:pStyle w:val="0"/>
              <w:jc w:val="center"/>
            </w:pPr>
            <w:r>
              <w:rPr>
                <w:sz w:val="20"/>
              </w:rPr>
              <w:t xml:space="preserve">не менее 17,5%</w:t>
            </w:r>
          </w:p>
        </w:tc>
        <w:tc>
          <w:tcPr>
            <w:tcW w:w="1361" w:type="dxa"/>
          </w:tcPr>
          <w:p>
            <w:pPr>
              <w:pStyle w:val="0"/>
              <w:jc w:val="center"/>
            </w:pPr>
            <w:r>
              <w:rPr>
                <w:sz w:val="20"/>
              </w:rPr>
              <w:t xml:space="preserve">не менее 18,0%</w:t>
            </w:r>
          </w:p>
        </w:tc>
        <w:tc>
          <w:tcPr>
            <w:tcW w:w="1361" w:type="dxa"/>
          </w:tcPr>
          <w:p>
            <w:pPr>
              <w:pStyle w:val="0"/>
              <w:jc w:val="center"/>
            </w:pPr>
            <w:r>
              <w:rPr>
                <w:sz w:val="20"/>
              </w:rPr>
              <w:t xml:space="preserve">не менее 18,5%</w:t>
            </w:r>
          </w:p>
        </w:tc>
      </w:tr>
      <w:tr>
        <w:tc>
          <w:tcPr>
            <w:tcW w:w="907" w:type="dxa"/>
          </w:tcPr>
          <w:p>
            <w:pPr>
              <w:pStyle w:val="0"/>
              <w:jc w:val="center"/>
            </w:pPr>
            <w:r>
              <w:rPr>
                <w:sz w:val="20"/>
              </w:rPr>
              <w:t xml:space="preserve">30.</w:t>
            </w:r>
          </w:p>
        </w:tc>
        <w:tc>
          <w:tcPr>
            <w:tcW w:w="1304" w:type="dxa"/>
          </w:tcPr>
          <w:p>
            <w:pPr>
              <w:pStyle w:val="0"/>
              <w:jc w:val="center"/>
            </w:pPr>
            <w:r>
              <w:rPr>
                <w:sz w:val="20"/>
              </w:rPr>
              <w:t xml:space="preserve">А.3.</w:t>
            </w:r>
          </w:p>
        </w:tc>
        <w:tc>
          <w:tcPr>
            <w:tcW w:w="3061" w:type="dxa"/>
          </w:tcPr>
          <w:p>
            <w:pPr>
              <w:pStyle w:val="0"/>
            </w:pPr>
            <w:r>
              <w:rPr>
                <w:sz w:val="20"/>
              </w:rPr>
              <w:t xml:space="preserve">Доля дорожно-транспортных происшествий (далее - ДТП) на автомобильных дорогах регионального или межмуниципального значения Свердловской области, в местах совершения которых выявлены сопутствующие неудовлетворительные дорожные условия (V), процентов</w:t>
            </w:r>
          </w:p>
        </w:tc>
        <w:tc>
          <w:tcPr>
            <w:tcW w:w="3572" w:type="dxa"/>
          </w:tcPr>
          <w:p>
            <w:pPr>
              <w:pStyle w:val="0"/>
            </w:pPr>
            <w:r>
              <w:rPr>
                <w:sz w:val="20"/>
              </w:rPr>
              <w:t xml:space="preserve">V = V</w:t>
            </w:r>
            <w:r>
              <w:rPr>
                <w:sz w:val="20"/>
                <w:vertAlign w:val="subscript"/>
              </w:rPr>
              <w:t xml:space="preserve">нду</w:t>
            </w:r>
            <w:r>
              <w:rPr>
                <w:sz w:val="20"/>
              </w:rPr>
              <w:t xml:space="preserve"> / V</w:t>
            </w:r>
            <w:r>
              <w:rPr>
                <w:sz w:val="20"/>
                <w:vertAlign w:val="subscript"/>
              </w:rPr>
              <w:t xml:space="preserve">общ</w:t>
            </w:r>
            <w:r>
              <w:rPr>
                <w:sz w:val="20"/>
              </w:rPr>
              <w:t xml:space="preserve"> x 100%, где:</w:t>
            </w:r>
          </w:p>
          <w:p>
            <w:pPr>
              <w:pStyle w:val="0"/>
            </w:pPr>
            <w:r>
              <w:rPr>
                <w:sz w:val="20"/>
              </w:rPr>
              <w:t xml:space="preserve">V</w:t>
            </w:r>
            <w:r>
              <w:rPr>
                <w:sz w:val="20"/>
                <w:vertAlign w:val="subscript"/>
              </w:rPr>
              <w:t xml:space="preserve">нду</w:t>
            </w:r>
            <w:r>
              <w:rPr>
                <w:sz w:val="20"/>
              </w:rPr>
              <w:t xml:space="preserve"> - количество ДТП, в местах совершения которых выявлены сопутствующие неудовлетворительные дорожные условия, за отчетный период;</w:t>
            </w:r>
          </w:p>
          <w:p>
            <w:pPr>
              <w:pStyle w:val="0"/>
            </w:pPr>
            <w:r>
              <w:rPr>
                <w:sz w:val="20"/>
              </w:rPr>
              <w:t xml:space="preserve">V</w:t>
            </w:r>
            <w:r>
              <w:rPr>
                <w:sz w:val="20"/>
                <w:vertAlign w:val="subscript"/>
              </w:rPr>
              <w:t xml:space="preserve">общ</w:t>
            </w:r>
            <w:r>
              <w:rPr>
                <w:sz w:val="20"/>
              </w:rPr>
              <w:t xml:space="preserve"> - общее количество ДТП за отчетный период</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17,0%</w:t>
            </w:r>
          </w:p>
        </w:tc>
        <w:tc>
          <w:tcPr>
            <w:tcW w:w="1361" w:type="dxa"/>
          </w:tcPr>
          <w:p>
            <w:pPr>
              <w:pStyle w:val="0"/>
              <w:jc w:val="center"/>
            </w:pPr>
            <w:r>
              <w:rPr>
                <w:sz w:val="20"/>
              </w:rPr>
              <w:t xml:space="preserve">не более 16,5%</w:t>
            </w:r>
          </w:p>
        </w:tc>
        <w:tc>
          <w:tcPr>
            <w:tcW w:w="1361" w:type="dxa"/>
          </w:tcPr>
          <w:p>
            <w:pPr>
              <w:pStyle w:val="0"/>
              <w:jc w:val="center"/>
            </w:pPr>
            <w:r>
              <w:rPr>
                <w:sz w:val="20"/>
              </w:rPr>
              <w:t xml:space="preserve">не более 16,0%</w:t>
            </w:r>
          </w:p>
        </w:tc>
        <w:tc>
          <w:tcPr>
            <w:tcW w:w="1361" w:type="dxa"/>
          </w:tcPr>
          <w:p>
            <w:pPr>
              <w:pStyle w:val="0"/>
              <w:jc w:val="center"/>
            </w:pPr>
            <w:r>
              <w:rPr>
                <w:sz w:val="20"/>
              </w:rPr>
              <w:t xml:space="preserve">не более 15,5%</w:t>
            </w:r>
          </w:p>
        </w:tc>
      </w:tr>
      <w:tr>
        <w:tc>
          <w:tcPr>
            <w:tcW w:w="907" w:type="dxa"/>
          </w:tcPr>
          <w:p>
            <w:pPr>
              <w:pStyle w:val="0"/>
              <w:jc w:val="center"/>
            </w:pPr>
            <w:r>
              <w:rPr>
                <w:sz w:val="20"/>
              </w:rPr>
              <w:t xml:space="preserve">31.</w:t>
            </w:r>
          </w:p>
        </w:tc>
        <w:tc>
          <w:tcPr>
            <w:gridSpan w:val="11"/>
            <w:tcW w:w="18825" w:type="dxa"/>
          </w:tcPr>
          <w:p>
            <w:pPr>
              <w:pStyle w:val="0"/>
              <w:jc w:val="center"/>
            </w:pPr>
            <w:r>
              <w:rPr>
                <w:sz w:val="20"/>
              </w:rPr>
              <w:t xml:space="preserve">Региональный государственный контроль (надзор) в сфере социального обслуживания граждан (Министерство социальной политики Свердловской области)</w:t>
            </w:r>
          </w:p>
        </w:tc>
      </w:tr>
      <w:tr>
        <w:tc>
          <w:tcPr>
            <w:tcW w:w="907" w:type="dxa"/>
          </w:tcPr>
          <w:p>
            <w:pPr>
              <w:pStyle w:val="0"/>
              <w:jc w:val="center"/>
            </w:pPr>
            <w:r>
              <w:rPr>
                <w:sz w:val="20"/>
              </w:rPr>
              <w:t xml:space="preserve">32.</w:t>
            </w:r>
          </w:p>
        </w:tc>
        <w:tc>
          <w:tcPr>
            <w:tcW w:w="1304" w:type="dxa"/>
          </w:tcPr>
          <w:p>
            <w:pPr>
              <w:pStyle w:val="0"/>
              <w:jc w:val="center"/>
            </w:pPr>
            <w:r>
              <w:rPr>
                <w:sz w:val="20"/>
              </w:rPr>
              <w:t xml:space="preserve">А.3.</w:t>
            </w:r>
          </w:p>
        </w:tc>
        <w:tc>
          <w:tcPr>
            <w:tcW w:w="3061" w:type="dxa"/>
          </w:tcPr>
          <w:p>
            <w:pPr>
              <w:pStyle w:val="0"/>
            </w:pPr>
            <w:r>
              <w:rPr>
                <w:sz w:val="20"/>
              </w:rPr>
              <w:t xml:space="preserve">Доля получателей социальных услуг, получивших социальные услуги у поставщиков социальных услуг с нарушением обязательных требований в сфере социального обслуживания граждан (Д</w:t>
            </w:r>
            <w:r>
              <w:rPr>
                <w:sz w:val="20"/>
                <w:vertAlign w:val="subscript"/>
              </w:rPr>
              <w:t xml:space="preserve">пн</w:t>
            </w:r>
            <w:r>
              <w:rPr>
                <w:sz w:val="20"/>
              </w:rPr>
              <w:t xml:space="preserve">), процентов</w:t>
            </w:r>
          </w:p>
        </w:tc>
        <w:tc>
          <w:tcPr>
            <w:tcW w:w="3572" w:type="dxa"/>
          </w:tcPr>
          <w:p>
            <w:pPr>
              <w:pStyle w:val="0"/>
            </w:pPr>
            <w:r>
              <w:rPr>
                <w:sz w:val="20"/>
              </w:rPr>
              <w:t xml:space="preserve">Д</w:t>
            </w:r>
            <w:r>
              <w:rPr>
                <w:sz w:val="20"/>
                <w:vertAlign w:val="subscript"/>
              </w:rPr>
              <w:t xml:space="preserve">пн</w:t>
            </w:r>
            <w:r>
              <w:rPr>
                <w:sz w:val="20"/>
              </w:rPr>
              <w:t xml:space="preserve"> = К</w:t>
            </w:r>
            <w:r>
              <w:rPr>
                <w:sz w:val="20"/>
                <w:vertAlign w:val="subscript"/>
              </w:rPr>
              <w:t xml:space="preserve">пн</w:t>
            </w:r>
            <w:r>
              <w:rPr>
                <w:sz w:val="20"/>
              </w:rPr>
              <w:t xml:space="preserve"> / К</w:t>
            </w:r>
            <w:r>
              <w:rPr>
                <w:sz w:val="20"/>
                <w:vertAlign w:val="subscript"/>
              </w:rPr>
              <w:t xml:space="preserve">пв</w:t>
            </w:r>
            <w:r>
              <w:rPr>
                <w:sz w:val="20"/>
              </w:rPr>
              <w:t xml:space="preserve"> x 100%, где:</w:t>
            </w:r>
          </w:p>
          <w:p>
            <w:pPr>
              <w:pStyle w:val="0"/>
            </w:pPr>
            <w:r>
              <w:rPr>
                <w:sz w:val="20"/>
              </w:rPr>
              <w:t xml:space="preserve">К</w:t>
            </w:r>
            <w:r>
              <w:rPr>
                <w:sz w:val="20"/>
                <w:vertAlign w:val="subscript"/>
              </w:rPr>
              <w:t xml:space="preserve">пн</w:t>
            </w:r>
            <w:r>
              <w:rPr>
                <w:sz w:val="20"/>
              </w:rPr>
              <w:t xml:space="preserve"> - количество получателей социальных услуг, получивших социальные услуги у поставщиков социальных услуг с нарушением обязательных требований в сфере социального обслуживания граждан, человек;</w:t>
            </w:r>
          </w:p>
          <w:p>
            <w:pPr>
              <w:pStyle w:val="0"/>
            </w:pPr>
            <w:r>
              <w:rPr>
                <w:sz w:val="20"/>
              </w:rPr>
              <w:t xml:space="preserve">К</w:t>
            </w:r>
            <w:r>
              <w:rPr>
                <w:sz w:val="20"/>
                <w:vertAlign w:val="subscript"/>
              </w:rPr>
              <w:t xml:space="preserve">пв</w:t>
            </w:r>
            <w:r>
              <w:rPr>
                <w:sz w:val="20"/>
              </w:rPr>
              <w:t xml:space="preserve"> - общее количество получателей социальных услуг, получивших социальные услуги у поставщиков социальных услуг, 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1%</w:t>
            </w:r>
          </w:p>
        </w:tc>
      </w:tr>
      <w:tr>
        <w:tc>
          <w:tcPr>
            <w:tcW w:w="907" w:type="dxa"/>
          </w:tcPr>
          <w:p>
            <w:pPr>
              <w:pStyle w:val="0"/>
              <w:jc w:val="center"/>
            </w:pPr>
            <w:r>
              <w:rPr>
                <w:sz w:val="20"/>
              </w:rPr>
              <w:t xml:space="preserve">33.</w:t>
            </w:r>
          </w:p>
        </w:tc>
        <w:tc>
          <w:tcPr>
            <w:gridSpan w:val="11"/>
            <w:tcW w:w="18825" w:type="dxa"/>
          </w:tcPr>
          <w:p>
            <w:pPr>
              <w:pStyle w:val="0"/>
              <w:jc w:val="center"/>
            </w:pPr>
            <w:r>
              <w:rPr>
                <w:sz w:val="20"/>
              </w:rPr>
              <w:t xml:space="preserve">Региональный государственный надзор в области защиты населения и территорий от чрезвычайных ситуаций (Министерство общественной безопасности Свердловской области)</w:t>
            </w:r>
          </w:p>
        </w:tc>
      </w:tr>
      <w:tr>
        <w:tc>
          <w:tcPr>
            <w:tcW w:w="907" w:type="dxa"/>
          </w:tcPr>
          <w:p>
            <w:pPr>
              <w:pStyle w:val="0"/>
              <w:jc w:val="center"/>
            </w:pPr>
            <w:r>
              <w:rPr>
                <w:sz w:val="20"/>
              </w:rPr>
              <w:t xml:space="preserve">34.</w:t>
            </w:r>
          </w:p>
        </w:tc>
        <w:tc>
          <w:tcPr>
            <w:tcW w:w="1304" w:type="dxa"/>
          </w:tcPr>
          <w:p>
            <w:pPr>
              <w:pStyle w:val="0"/>
              <w:jc w:val="center"/>
            </w:pPr>
            <w:r>
              <w:rPr>
                <w:sz w:val="20"/>
              </w:rPr>
              <w:t xml:space="preserve">А.1.1.</w:t>
            </w:r>
          </w:p>
        </w:tc>
        <w:tc>
          <w:tcPr>
            <w:tcW w:w="3061" w:type="dxa"/>
          </w:tcPr>
          <w:p>
            <w:pPr>
              <w:pStyle w:val="0"/>
            </w:pPr>
            <w:r>
              <w:rPr>
                <w:sz w:val="20"/>
              </w:rPr>
              <w:t xml:space="preserve">Количество людей, погибших при чрезвычайных ситуациях техногенного характера на объектах надзора, на 1000000 населения Свердловской области, человек</w:t>
            </w:r>
          </w:p>
        </w:tc>
        <w:tc>
          <w:tcPr>
            <w:tcW w:w="3572" w:type="dxa"/>
          </w:tcPr>
          <w:p>
            <w:pPr>
              <w:pStyle w:val="0"/>
            </w:pPr>
            <w:r>
              <w:rPr>
                <w:sz w:val="20"/>
              </w:rPr>
              <w:t xml:space="preserve">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c>
          <w:tcPr>
            <w:tcW w:w="1361" w:type="dxa"/>
          </w:tcPr>
          <w:p>
            <w:pPr>
              <w:pStyle w:val="0"/>
              <w:jc w:val="center"/>
            </w:pPr>
            <w:r>
              <w:rPr>
                <w:sz w:val="20"/>
              </w:rPr>
              <w:t xml:space="preserve">не более 2</w:t>
            </w:r>
          </w:p>
        </w:tc>
        <w:tc>
          <w:tcPr>
            <w:tcW w:w="1361" w:type="dxa"/>
          </w:tcPr>
          <w:p>
            <w:pPr>
              <w:pStyle w:val="0"/>
              <w:jc w:val="center"/>
            </w:pPr>
            <w:r>
              <w:rPr>
                <w:sz w:val="20"/>
              </w:rPr>
              <w:t xml:space="preserve">не более 1,5</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35.</w:t>
            </w:r>
          </w:p>
        </w:tc>
        <w:tc>
          <w:tcPr>
            <w:tcW w:w="1304" w:type="dxa"/>
          </w:tcPr>
          <w:p>
            <w:pPr>
              <w:pStyle w:val="0"/>
              <w:jc w:val="center"/>
            </w:pPr>
            <w:r>
              <w:rPr>
                <w:sz w:val="20"/>
              </w:rPr>
              <w:t xml:space="preserve">А.1.2.</w:t>
            </w:r>
          </w:p>
        </w:tc>
        <w:tc>
          <w:tcPr>
            <w:tcW w:w="3061" w:type="dxa"/>
          </w:tcPr>
          <w:p>
            <w:pPr>
              <w:pStyle w:val="0"/>
            </w:pPr>
            <w:r>
              <w:rPr>
                <w:sz w:val="20"/>
              </w:rPr>
              <w:t xml:space="preserve">Количество людей, травмированных при чрезвычайных ситуациях техногенного характера на объектах надзора, на 1000000 населения Свердловской области, человек</w:t>
            </w:r>
          </w:p>
        </w:tc>
        <w:tc>
          <w:tcPr>
            <w:tcW w:w="3572" w:type="dxa"/>
          </w:tcPr>
          <w:p>
            <w:pPr>
              <w:pStyle w:val="0"/>
            </w:pPr>
            <w:r>
              <w:rPr>
                <w:sz w:val="20"/>
              </w:rPr>
              <w:t xml:space="preserve">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c>
          <w:tcPr>
            <w:tcW w:w="1361" w:type="dxa"/>
          </w:tcPr>
          <w:p>
            <w:pPr>
              <w:pStyle w:val="0"/>
              <w:jc w:val="center"/>
            </w:pPr>
            <w:r>
              <w:rPr>
                <w:sz w:val="20"/>
              </w:rPr>
              <w:t xml:space="preserve">не более 4</w:t>
            </w:r>
          </w:p>
        </w:tc>
        <w:tc>
          <w:tcPr>
            <w:tcW w:w="1361" w:type="dxa"/>
          </w:tcPr>
          <w:p>
            <w:pPr>
              <w:pStyle w:val="0"/>
              <w:jc w:val="center"/>
            </w:pPr>
            <w:r>
              <w:rPr>
                <w:sz w:val="20"/>
              </w:rPr>
              <w:t xml:space="preserve">не более 2</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r>
      <w:tr>
        <w:tc>
          <w:tcPr>
            <w:tcW w:w="907" w:type="dxa"/>
          </w:tcPr>
          <w:p>
            <w:pPr>
              <w:pStyle w:val="0"/>
              <w:jc w:val="center"/>
            </w:pPr>
            <w:r>
              <w:rPr>
                <w:sz w:val="20"/>
              </w:rPr>
              <w:t xml:space="preserve">36.</w:t>
            </w:r>
          </w:p>
        </w:tc>
        <w:tc>
          <w:tcPr>
            <w:gridSpan w:val="11"/>
            <w:tcW w:w="18825" w:type="dxa"/>
          </w:tcPr>
          <w:p>
            <w:pPr>
              <w:pStyle w:val="0"/>
              <w:jc w:val="center"/>
            </w:pPr>
            <w:r>
              <w:rPr>
                <w:sz w:val="20"/>
              </w:rPr>
              <w:t xml:space="preserve">Региональный государственный контроль (надзор) за состоянием Музейного фонда Российской Федерации (Министерство культуры Свердловской области)</w:t>
            </w:r>
          </w:p>
        </w:tc>
      </w:tr>
      <w:tr>
        <w:tc>
          <w:tcPr>
            <w:tcW w:w="907" w:type="dxa"/>
          </w:tcPr>
          <w:p>
            <w:pPr>
              <w:pStyle w:val="0"/>
              <w:jc w:val="center"/>
            </w:pPr>
            <w:r>
              <w:rPr>
                <w:sz w:val="20"/>
              </w:rPr>
              <w:t xml:space="preserve">37.</w:t>
            </w:r>
          </w:p>
        </w:tc>
        <w:tc>
          <w:tcPr>
            <w:tcW w:w="1304" w:type="dxa"/>
          </w:tcPr>
          <w:p>
            <w:pPr>
              <w:pStyle w:val="0"/>
              <w:jc w:val="center"/>
            </w:pPr>
            <w:r>
              <w:rPr>
                <w:sz w:val="20"/>
              </w:rPr>
              <w:t xml:space="preserve">А.3.1.</w:t>
            </w:r>
          </w:p>
        </w:tc>
        <w:tc>
          <w:tcPr>
            <w:tcW w:w="3061" w:type="dxa"/>
          </w:tcPr>
          <w:p>
            <w:pPr>
              <w:pStyle w:val="0"/>
            </w:pPr>
            <w:r>
              <w:rPr>
                <w:sz w:val="20"/>
              </w:rPr>
              <w:t xml:space="preserve">Доля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tc>
        <w:tc>
          <w:tcPr>
            <w:tcW w:w="3572" w:type="dxa"/>
          </w:tcPr>
          <w:p>
            <w:pPr>
              <w:pStyle w:val="0"/>
            </w:pPr>
            <w:r>
              <w:rPr>
                <w:sz w:val="20"/>
              </w:rPr>
              <w:t xml:space="preserve">процентное соотношение от общего количества объектов (сетевых единиц) областных государственных музеев (годовая форма федерального статистического наблюдения N 8-НК "Сведения о деятельности музея")</w:t>
            </w:r>
          </w:p>
        </w:tc>
        <w:tc>
          <w:tcPr>
            <w:tcW w:w="1361" w:type="dxa"/>
          </w:tcPr>
          <w:p>
            <w:pPr>
              <w:pStyle w:val="0"/>
              <w:jc w:val="center"/>
            </w:pPr>
            <w:r>
              <w:rPr>
                <w:sz w:val="20"/>
              </w:rPr>
              <w:t xml:space="preserve">не менее 85%</w:t>
            </w:r>
          </w:p>
        </w:tc>
        <w:tc>
          <w:tcPr>
            <w:tcW w:w="1361" w:type="dxa"/>
          </w:tcPr>
          <w:p>
            <w:pPr>
              <w:pStyle w:val="0"/>
              <w:jc w:val="center"/>
            </w:pPr>
            <w:r>
              <w:rPr>
                <w:sz w:val="20"/>
              </w:rPr>
              <w:t xml:space="preserve">не менее 95%</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r>
      <w:tr>
        <w:tc>
          <w:tcPr>
            <w:tcW w:w="907" w:type="dxa"/>
          </w:tcPr>
          <w:p>
            <w:pPr>
              <w:pStyle w:val="0"/>
              <w:jc w:val="center"/>
            </w:pPr>
            <w:r>
              <w:rPr>
                <w:sz w:val="20"/>
              </w:rPr>
              <w:t xml:space="preserve">38.</w:t>
            </w:r>
          </w:p>
        </w:tc>
        <w:tc>
          <w:tcPr>
            <w:tcW w:w="1304" w:type="dxa"/>
          </w:tcPr>
          <w:p>
            <w:pPr>
              <w:pStyle w:val="0"/>
              <w:jc w:val="center"/>
            </w:pPr>
            <w:r>
              <w:rPr>
                <w:sz w:val="20"/>
              </w:rPr>
              <w:t xml:space="preserve">А.3.2.</w:t>
            </w:r>
          </w:p>
        </w:tc>
        <w:tc>
          <w:tcPr>
            <w:tcW w:w="3061" w:type="dxa"/>
          </w:tcPr>
          <w:p>
            <w:pPr>
              <w:pStyle w:val="0"/>
            </w:pPr>
            <w:r>
              <w:rPr>
                <w:sz w:val="20"/>
              </w:rPr>
              <w:t xml:space="preserve">Доля музейных предметов, хранящихся в областных государственных музеях, сведения о которых внесены в Государственный каталог Музейного фонда Российской Федерации</w:t>
            </w:r>
          </w:p>
        </w:tc>
        <w:tc>
          <w:tcPr>
            <w:tcW w:w="3572" w:type="dxa"/>
          </w:tcPr>
          <w:p>
            <w:pPr>
              <w:pStyle w:val="0"/>
            </w:pPr>
            <w:r>
              <w:rPr>
                <w:sz w:val="20"/>
              </w:rPr>
              <w:t xml:space="preserve">процентное соотношение от общего количества музейных предметов, хранящихся в областных государственных музеях (годовая форма федерального статистического наблюдения N 8-НК "Сведения о деятельности музея")</w:t>
            </w:r>
          </w:p>
        </w:tc>
        <w:tc>
          <w:tcPr>
            <w:tcW w:w="1361" w:type="dxa"/>
          </w:tcPr>
          <w:p>
            <w:pPr>
              <w:pStyle w:val="0"/>
              <w:jc w:val="center"/>
            </w:pPr>
            <w:r>
              <w:rPr>
                <w:sz w:val="20"/>
              </w:rPr>
              <w:t xml:space="preserve">не менее 3,9%</w:t>
            </w:r>
          </w:p>
        </w:tc>
        <w:tc>
          <w:tcPr>
            <w:tcW w:w="1361" w:type="dxa"/>
          </w:tcPr>
          <w:p>
            <w:pPr>
              <w:pStyle w:val="0"/>
              <w:jc w:val="center"/>
            </w:pPr>
            <w:r>
              <w:rPr>
                <w:sz w:val="20"/>
              </w:rPr>
              <w:t xml:space="preserve">не менее 12%</w:t>
            </w:r>
          </w:p>
        </w:tc>
        <w:tc>
          <w:tcPr>
            <w:tcW w:w="1361" w:type="dxa"/>
          </w:tcPr>
          <w:p>
            <w:pPr>
              <w:pStyle w:val="0"/>
              <w:jc w:val="center"/>
            </w:pPr>
            <w:r>
              <w:rPr>
                <w:sz w:val="20"/>
              </w:rPr>
              <w:t xml:space="preserve">не менее 15%</w:t>
            </w:r>
          </w:p>
        </w:tc>
        <w:tc>
          <w:tcPr>
            <w:tcW w:w="1361" w:type="dxa"/>
          </w:tcPr>
          <w:p>
            <w:pPr>
              <w:pStyle w:val="0"/>
              <w:jc w:val="center"/>
            </w:pPr>
            <w:r>
              <w:rPr>
                <w:sz w:val="20"/>
              </w:rPr>
              <w:t xml:space="preserve">не менее 30%</w:t>
            </w:r>
          </w:p>
        </w:tc>
        <w:tc>
          <w:tcPr>
            <w:tcW w:w="1361" w:type="dxa"/>
          </w:tcPr>
          <w:p>
            <w:pPr>
              <w:pStyle w:val="0"/>
              <w:jc w:val="center"/>
            </w:pPr>
            <w:r>
              <w:rPr>
                <w:sz w:val="20"/>
              </w:rPr>
              <w:t xml:space="preserve">не менее 45%</w:t>
            </w:r>
          </w:p>
        </w:tc>
        <w:tc>
          <w:tcPr>
            <w:tcW w:w="1361" w:type="dxa"/>
          </w:tcPr>
          <w:p>
            <w:pPr>
              <w:pStyle w:val="0"/>
              <w:jc w:val="center"/>
            </w:pPr>
            <w:r>
              <w:rPr>
                <w:sz w:val="20"/>
              </w:rPr>
              <w:t xml:space="preserve">не менее 60%</w:t>
            </w:r>
          </w:p>
        </w:tc>
        <w:tc>
          <w:tcPr>
            <w:tcW w:w="1361" w:type="dxa"/>
          </w:tcPr>
          <w:p>
            <w:pPr>
              <w:pStyle w:val="0"/>
              <w:jc w:val="center"/>
            </w:pPr>
            <w:r>
              <w:rPr>
                <w:sz w:val="20"/>
              </w:rPr>
              <w:t xml:space="preserve">не менее 75%</w:t>
            </w:r>
          </w:p>
        </w:tc>
        <w:tc>
          <w:tcPr>
            <w:tcW w:w="1361" w:type="dxa"/>
          </w:tcPr>
          <w:p>
            <w:pPr>
              <w:pStyle w:val="0"/>
              <w:jc w:val="center"/>
            </w:pPr>
            <w:r>
              <w:rPr>
                <w:sz w:val="20"/>
              </w:rPr>
              <w:t xml:space="preserve">не менее 90%</w:t>
            </w:r>
          </w:p>
        </w:tc>
      </w:tr>
      <w:tr>
        <w:tc>
          <w:tcPr>
            <w:tcW w:w="907" w:type="dxa"/>
          </w:tcPr>
          <w:p>
            <w:pPr>
              <w:pStyle w:val="0"/>
              <w:jc w:val="center"/>
            </w:pPr>
            <w:r>
              <w:rPr>
                <w:sz w:val="20"/>
              </w:rPr>
              <w:t xml:space="preserve">39.</w:t>
            </w:r>
          </w:p>
        </w:tc>
        <w:tc>
          <w:tcPr>
            <w:gridSpan w:val="11"/>
            <w:tcW w:w="18825" w:type="dxa"/>
          </w:tcPr>
          <w:p>
            <w:pPr>
              <w:pStyle w:val="0"/>
              <w:jc w:val="center"/>
            </w:pPr>
            <w:r>
              <w:rPr>
                <w:sz w:val="20"/>
              </w:rPr>
              <w:t xml:space="preserve">Региональный государственный контроль (надзор) за приемом на работу инвалидов в пределах установленной квоты (Департамент по труду и занятости населения Свердловской области)</w:t>
            </w:r>
          </w:p>
        </w:tc>
      </w:tr>
      <w:tr>
        <w:tc>
          <w:tcPr>
            <w:tcW w:w="907" w:type="dxa"/>
          </w:tcPr>
          <w:p>
            <w:pPr>
              <w:pStyle w:val="0"/>
              <w:jc w:val="center"/>
            </w:pPr>
            <w:r>
              <w:rPr>
                <w:sz w:val="20"/>
              </w:rPr>
              <w:t xml:space="preserve">40.</w:t>
            </w:r>
          </w:p>
        </w:tc>
        <w:tc>
          <w:tcPr>
            <w:tcW w:w="1304" w:type="dxa"/>
          </w:tcPr>
          <w:p>
            <w:pPr>
              <w:pStyle w:val="0"/>
              <w:jc w:val="center"/>
            </w:pPr>
            <w:r>
              <w:rPr>
                <w:sz w:val="20"/>
              </w:rPr>
              <w:t xml:space="preserve">А.3.</w:t>
            </w:r>
          </w:p>
        </w:tc>
        <w:tc>
          <w:tcPr>
            <w:tcW w:w="3061" w:type="dxa"/>
          </w:tcPr>
          <w:p>
            <w:pPr>
              <w:pStyle w:val="0"/>
            </w:pPr>
            <w:r>
              <w:rPr>
                <w:sz w:val="20"/>
              </w:rPr>
              <w:t xml:space="preserve">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 (У</w:t>
            </w:r>
            <w:r>
              <w:rPr>
                <w:sz w:val="20"/>
                <w:vertAlign w:val="subscript"/>
              </w:rPr>
              <w:t xml:space="preserve">к</w:t>
            </w:r>
            <w:r>
              <w:rPr>
                <w:sz w:val="20"/>
              </w:rPr>
              <w:t xml:space="preserve">), процентов</w:t>
            </w:r>
          </w:p>
        </w:tc>
        <w:tc>
          <w:tcPr>
            <w:tcW w:w="3572" w:type="dxa"/>
          </w:tcPr>
          <w:p>
            <w:pPr>
              <w:pStyle w:val="0"/>
            </w:pPr>
            <w:r>
              <w:rPr>
                <w:sz w:val="20"/>
              </w:rPr>
              <w:t xml:space="preserve">У</w:t>
            </w:r>
            <w:r>
              <w:rPr>
                <w:sz w:val="20"/>
                <w:vertAlign w:val="subscript"/>
              </w:rPr>
              <w:t xml:space="preserve">к</w:t>
            </w:r>
            <w:r>
              <w:rPr>
                <w:sz w:val="20"/>
              </w:rPr>
              <w:t xml:space="preserve"> = Н</w:t>
            </w:r>
            <w:r>
              <w:rPr>
                <w:sz w:val="20"/>
                <w:vertAlign w:val="subscript"/>
              </w:rPr>
              <w:t xml:space="preserve">н</w:t>
            </w:r>
            <w:r>
              <w:rPr>
                <w:sz w:val="20"/>
              </w:rPr>
              <w:t xml:space="preserve"> / Н</w:t>
            </w:r>
            <w:r>
              <w:rPr>
                <w:sz w:val="20"/>
                <w:vertAlign w:val="subscript"/>
              </w:rPr>
              <w:t xml:space="preserve">у</w:t>
            </w:r>
            <w:r>
              <w:rPr>
                <w:sz w:val="20"/>
              </w:rPr>
              <w:t xml:space="preserve"> x 100%, где:</w:t>
            </w:r>
          </w:p>
          <w:p>
            <w:pPr>
              <w:pStyle w:val="0"/>
            </w:pPr>
            <w:r>
              <w:rPr>
                <w:sz w:val="20"/>
              </w:rPr>
              <w:t xml:space="preserve">Н</w:t>
            </w:r>
            <w:r>
              <w:rPr>
                <w:sz w:val="20"/>
                <w:vertAlign w:val="subscript"/>
              </w:rPr>
              <w:t xml:space="preserve">н</w:t>
            </w:r>
            <w:r>
              <w:rPr>
                <w:sz w:val="20"/>
              </w:rPr>
              <w:t xml:space="preserve"> - количество несозданных (невыделенных) рабочих мест для приема на работу инвалидов;</w:t>
            </w:r>
          </w:p>
          <w:p>
            <w:pPr>
              <w:pStyle w:val="0"/>
            </w:pPr>
            <w:r>
              <w:rPr>
                <w:sz w:val="20"/>
              </w:rPr>
              <w:t xml:space="preserve">Н</w:t>
            </w:r>
            <w:r>
              <w:rPr>
                <w:sz w:val="20"/>
                <w:vertAlign w:val="subscript"/>
              </w:rPr>
              <w:t xml:space="preserve">у</w:t>
            </w:r>
            <w:r>
              <w:rPr>
                <w:sz w:val="20"/>
              </w:rPr>
              <w:t xml:space="preserve"> - расчетное количество рабочих мест для приема на работу инвалидов в пределах установленной квоты</w:t>
            </w:r>
          </w:p>
        </w:tc>
        <w:tc>
          <w:tcPr>
            <w:tcW w:w="1361" w:type="dxa"/>
          </w:tcPr>
          <w:p>
            <w:pPr>
              <w:pStyle w:val="0"/>
              <w:jc w:val="center"/>
            </w:pPr>
            <w:r>
              <w:rPr>
                <w:sz w:val="20"/>
              </w:rPr>
              <w:t xml:space="preserve">не более 3,3%</w:t>
            </w:r>
          </w:p>
        </w:tc>
        <w:tc>
          <w:tcPr>
            <w:tcW w:w="1361" w:type="dxa"/>
          </w:tcPr>
          <w:p>
            <w:pPr>
              <w:pStyle w:val="0"/>
              <w:jc w:val="center"/>
            </w:pPr>
            <w:r>
              <w:rPr>
                <w:sz w:val="20"/>
              </w:rPr>
              <w:t xml:space="preserve">не более 2,5%</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0,9%</w:t>
            </w:r>
          </w:p>
        </w:tc>
        <w:tc>
          <w:tcPr>
            <w:tcW w:w="1361" w:type="dxa"/>
          </w:tcPr>
          <w:p>
            <w:pPr>
              <w:pStyle w:val="0"/>
              <w:jc w:val="center"/>
            </w:pPr>
            <w:r>
              <w:rPr>
                <w:sz w:val="20"/>
              </w:rPr>
              <w:t xml:space="preserve">не более 0,9%</w:t>
            </w:r>
          </w:p>
        </w:tc>
        <w:tc>
          <w:tcPr>
            <w:tcW w:w="1361" w:type="dxa"/>
          </w:tcPr>
          <w:p>
            <w:pPr>
              <w:pStyle w:val="0"/>
              <w:jc w:val="center"/>
            </w:pPr>
            <w:r>
              <w:rPr>
                <w:sz w:val="20"/>
              </w:rPr>
              <w:t xml:space="preserve">не более 0,9%</w:t>
            </w:r>
          </w:p>
        </w:tc>
      </w:tr>
      <w:tr>
        <w:tc>
          <w:tcPr>
            <w:tcW w:w="907" w:type="dxa"/>
          </w:tcPr>
          <w:p>
            <w:pPr>
              <w:pStyle w:val="0"/>
              <w:jc w:val="center"/>
            </w:pPr>
            <w:r>
              <w:rPr>
                <w:sz w:val="20"/>
              </w:rPr>
              <w:t xml:space="preserve">41.</w:t>
            </w:r>
          </w:p>
        </w:tc>
        <w:tc>
          <w:tcPr>
            <w:gridSpan w:val="11"/>
            <w:tcW w:w="18825" w:type="dxa"/>
          </w:tcPr>
          <w:p>
            <w:pPr>
              <w:pStyle w:val="0"/>
              <w:jc w:val="center"/>
            </w:pPr>
            <w:r>
              <w:rPr>
                <w:sz w:val="20"/>
              </w:rPr>
              <w:t xml:space="preserve">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местного (муниципального) значения, выявленных объектов культурного наследия (Управление государственной охраны объектов культурного наследия Свердловской области)</w:t>
            </w:r>
          </w:p>
        </w:tc>
      </w:tr>
      <w:tr>
        <w:tc>
          <w:tcPr>
            <w:tcW w:w="907" w:type="dxa"/>
          </w:tcPr>
          <w:p>
            <w:pPr>
              <w:pStyle w:val="0"/>
              <w:jc w:val="center"/>
            </w:pPr>
            <w:r>
              <w:rPr>
                <w:sz w:val="20"/>
              </w:rPr>
              <w:t xml:space="preserve">42.</w:t>
            </w:r>
          </w:p>
        </w:tc>
        <w:tc>
          <w:tcPr>
            <w:tcW w:w="1304" w:type="dxa"/>
          </w:tcPr>
          <w:p>
            <w:pPr>
              <w:pStyle w:val="0"/>
              <w:jc w:val="center"/>
            </w:pPr>
            <w:r>
              <w:rPr>
                <w:sz w:val="20"/>
              </w:rPr>
              <w:t xml:space="preserve">А.3.1.</w:t>
            </w:r>
          </w:p>
        </w:tc>
        <w:tc>
          <w:tcPr>
            <w:tcW w:w="3061" w:type="dxa"/>
          </w:tcPr>
          <w:p>
            <w:pPr>
              <w:pStyle w:val="0"/>
            </w:pPr>
            <w:r>
              <w:rPr>
                <w:sz w:val="20"/>
              </w:rPr>
              <w:t xml:space="preserve">Доля объектов культурного наследия, регионального значения и местного (муниципального) значения, которым причинен вред за отчетный период (ОКН1), процентов</w:t>
            </w:r>
          </w:p>
        </w:tc>
        <w:tc>
          <w:tcPr>
            <w:tcW w:w="3572" w:type="dxa"/>
          </w:tcPr>
          <w:p>
            <w:pPr>
              <w:pStyle w:val="0"/>
            </w:pPr>
            <w:r>
              <w:rPr>
                <w:sz w:val="20"/>
              </w:rPr>
              <w:t xml:space="preserve">ОКН1 = ОКН</w:t>
            </w:r>
            <w:r>
              <w:rPr>
                <w:sz w:val="20"/>
                <w:vertAlign w:val="subscript"/>
              </w:rPr>
              <w:t xml:space="preserve">вр</w:t>
            </w:r>
            <w:r>
              <w:rPr>
                <w:sz w:val="20"/>
              </w:rPr>
              <w:t xml:space="preserve"> / ОКН</w:t>
            </w:r>
            <w:r>
              <w:rPr>
                <w:sz w:val="20"/>
                <w:vertAlign w:val="subscript"/>
              </w:rPr>
              <w:t xml:space="preserve">общ</w:t>
            </w:r>
            <w:r>
              <w:rPr>
                <w:sz w:val="20"/>
              </w:rPr>
              <w:t xml:space="preserve"> x 100%, где:</w:t>
            </w:r>
          </w:p>
          <w:p>
            <w:pPr>
              <w:pStyle w:val="0"/>
            </w:pPr>
            <w:r>
              <w:rPr>
                <w:sz w:val="20"/>
              </w:rPr>
              <w:t xml:space="preserve">ОКН</w:t>
            </w:r>
            <w:r>
              <w:rPr>
                <w:sz w:val="20"/>
                <w:vertAlign w:val="subscript"/>
              </w:rPr>
              <w:t xml:space="preserve">вр</w:t>
            </w:r>
            <w:r>
              <w:rPr>
                <w:sz w:val="20"/>
              </w:rPr>
              <w:t xml:space="preserve"> -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 которым причинен вред за отчетный период (календарный год);</w:t>
            </w:r>
          </w:p>
          <w:p>
            <w:pPr>
              <w:pStyle w:val="0"/>
            </w:pPr>
            <w:r>
              <w:rPr>
                <w:sz w:val="20"/>
              </w:rPr>
              <w:t xml:space="preserve">ОКН</w:t>
            </w:r>
            <w:r>
              <w:rPr>
                <w:sz w:val="20"/>
                <w:vertAlign w:val="subscript"/>
              </w:rPr>
              <w:t xml:space="preserve">общ</w:t>
            </w:r>
            <w:r>
              <w:rPr>
                <w:sz w:val="20"/>
              </w:rPr>
              <w:t xml:space="preserve"> - общее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20%</w:t>
            </w:r>
          </w:p>
        </w:tc>
        <w:tc>
          <w:tcPr>
            <w:tcW w:w="1361" w:type="dxa"/>
          </w:tcPr>
          <w:p>
            <w:pPr>
              <w:pStyle w:val="0"/>
              <w:jc w:val="center"/>
            </w:pPr>
            <w:r>
              <w:rPr>
                <w:sz w:val="20"/>
              </w:rPr>
              <w:t xml:space="preserve">не более 18%</w:t>
            </w:r>
          </w:p>
        </w:tc>
        <w:tc>
          <w:tcPr>
            <w:tcW w:w="1361" w:type="dxa"/>
          </w:tcPr>
          <w:p>
            <w:pPr>
              <w:pStyle w:val="0"/>
              <w:jc w:val="center"/>
            </w:pPr>
            <w:r>
              <w:rPr>
                <w:sz w:val="20"/>
              </w:rPr>
              <w:t xml:space="preserve">не более 16%</w:t>
            </w:r>
          </w:p>
        </w:tc>
        <w:tc>
          <w:tcPr>
            <w:tcW w:w="1361" w:type="dxa"/>
          </w:tcPr>
          <w:p>
            <w:pPr>
              <w:pStyle w:val="0"/>
              <w:jc w:val="center"/>
            </w:pPr>
            <w:r>
              <w:rPr>
                <w:sz w:val="20"/>
              </w:rPr>
              <w:t xml:space="preserve">не более 14%</w:t>
            </w:r>
          </w:p>
        </w:tc>
      </w:tr>
      <w:tr>
        <w:tc>
          <w:tcPr>
            <w:tcW w:w="907" w:type="dxa"/>
          </w:tcPr>
          <w:p>
            <w:pPr>
              <w:pStyle w:val="0"/>
              <w:jc w:val="center"/>
            </w:pPr>
            <w:r>
              <w:rPr>
                <w:sz w:val="20"/>
              </w:rPr>
              <w:t xml:space="preserve">43.</w:t>
            </w:r>
          </w:p>
        </w:tc>
        <w:tc>
          <w:tcPr>
            <w:tcW w:w="1304" w:type="dxa"/>
          </w:tcPr>
          <w:p>
            <w:pPr>
              <w:pStyle w:val="0"/>
            </w:pPr>
            <w:r>
              <w:rPr>
                <w:sz w:val="20"/>
              </w:rPr>
            </w:r>
          </w:p>
        </w:tc>
        <w:tc>
          <w:tcPr>
            <w:tcW w:w="3061" w:type="dxa"/>
          </w:tcPr>
          <w:p>
            <w:pPr>
              <w:pStyle w:val="0"/>
            </w:pPr>
            <w:r>
              <w:rPr>
                <w:sz w:val="20"/>
              </w:rPr>
              <w:t xml:space="preserve">Доля объектов культурного наследия, регионального значения и местного (муниципального) значения, которым создана угроза причинения вреда за отчетный период (ОКН2), процентов</w:t>
            </w:r>
          </w:p>
        </w:tc>
        <w:tc>
          <w:tcPr>
            <w:tcW w:w="3572" w:type="dxa"/>
          </w:tcPr>
          <w:p>
            <w:pPr>
              <w:pStyle w:val="0"/>
            </w:pPr>
            <w:r>
              <w:rPr>
                <w:sz w:val="20"/>
              </w:rPr>
              <w:t xml:space="preserve">ОКН2 = ОКН</w:t>
            </w:r>
            <w:r>
              <w:rPr>
                <w:sz w:val="20"/>
                <w:vertAlign w:val="subscript"/>
              </w:rPr>
              <w:t xml:space="preserve">уг</w:t>
            </w:r>
            <w:r>
              <w:rPr>
                <w:sz w:val="20"/>
              </w:rPr>
              <w:t xml:space="preserve"> / ОКН</w:t>
            </w:r>
            <w:r>
              <w:rPr>
                <w:sz w:val="20"/>
                <w:vertAlign w:val="subscript"/>
              </w:rPr>
              <w:t xml:space="preserve">общ</w:t>
            </w:r>
            <w:r>
              <w:rPr>
                <w:sz w:val="20"/>
              </w:rPr>
              <w:t xml:space="preserve"> x 100%, где:</w:t>
            </w:r>
          </w:p>
          <w:p>
            <w:pPr>
              <w:pStyle w:val="0"/>
            </w:pPr>
            <w:r>
              <w:rPr>
                <w:sz w:val="20"/>
              </w:rPr>
              <w:t xml:space="preserve">ОКН</w:t>
            </w:r>
            <w:r>
              <w:rPr>
                <w:sz w:val="20"/>
                <w:vertAlign w:val="subscript"/>
              </w:rPr>
              <w:t xml:space="preserve">уг</w:t>
            </w:r>
            <w:r>
              <w:rPr>
                <w:sz w:val="20"/>
              </w:rPr>
              <w:t xml:space="preserve"> -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 которым создана угроза причинения вреда за отчетный период (календарный год);</w:t>
            </w:r>
          </w:p>
          <w:p>
            <w:pPr>
              <w:pStyle w:val="0"/>
            </w:pPr>
            <w:r>
              <w:rPr>
                <w:sz w:val="20"/>
              </w:rPr>
              <w:t xml:space="preserve">ОКН</w:t>
            </w:r>
            <w:r>
              <w:rPr>
                <w:sz w:val="20"/>
                <w:vertAlign w:val="subscript"/>
              </w:rPr>
              <w:t xml:space="preserve">общ</w:t>
            </w:r>
            <w:r>
              <w:rPr>
                <w:sz w:val="20"/>
              </w:rPr>
              <w:t xml:space="preserve"> - общее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30%</w:t>
            </w:r>
          </w:p>
        </w:tc>
        <w:tc>
          <w:tcPr>
            <w:tcW w:w="1361" w:type="dxa"/>
          </w:tcPr>
          <w:p>
            <w:pPr>
              <w:pStyle w:val="0"/>
              <w:jc w:val="center"/>
            </w:pPr>
            <w:r>
              <w:rPr>
                <w:sz w:val="20"/>
              </w:rPr>
              <w:t xml:space="preserve">не более 26%</w:t>
            </w:r>
          </w:p>
        </w:tc>
        <w:tc>
          <w:tcPr>
            <w:tcW w:w="1361" w:type="dxa"/>
          </w:tcPr>
          <w:p>
            <w:pPr>
              <w:pStyle w:val="0"/>
              <w:jc w:val="center"/>
            </w:pPr>
            <w:r>
              <w:rPr>
                <w:sz w:val="20"/>
              </w:rPr>
              <w:t xml:space="preserve">не более 22%</w:t>
            </w:r>
          </w:p>
        </w:tc>
        <w:tc>
          <w:tcPr>
            <w:tcW w:w="1361" w:type="dxa"/>
          </w:tcPr>
          <w:p>
            <w:pPr>
              <w:pStyle w:val="0"/>
              <w:jc w:val="center"/>
            </w:pPr>
            <w:r>
              <w:rPr>
                <w:sz w:val="20"/>
              </w:rPr>
              <w:t xml:space="preserve">не более 18%</w:t>
            </w:r>
          </w:p>
        </w:tc>
      </w:tr>
      <w:tr>
        <w:tc>
          <w:tcPr>
            <w:tcW w:w="907" w:type="dxa"/>
          </w:tcPr>
          <w:p>
            <w:pPr>
              <w:pStyle w:val="0"/>
              <w:jc w:val="center"/>
            </w:pPr>
            <w:r>
              <w:rPr>
                <w:sz w:val="20"/>
              </w:rPr>
              <w:t xml:space="preserve">44.</w:t>
            </w:r>
          </w:p>
        </w:tc>
        <w:tc>
          <w:tcPr>
            <w:gridSpan w:val="11"/>
            <w:tcW w:w="18825" w:type="dxa"/>
          </w:tcPr>
          <w:p>
            <w:pPr>
              <w:pStyle w:val="0"/>
              <w:jc w:val="center"/>
            </w:pPr>
            <w:r>
              <w:rPr>
                <w:sz w:val="20"/>
              </w:rPr>
              <w:t xml:space="preserve">Региональный государственный контроль (надзор) за соблюдением законодательства об архивном деле (Управление архивами Свердловской области)</w:t>
            </w:r>
          </w:p>
        </w:tc>
      </w:tr>
      <w:tr>
        <w:tblPrEx>
          <w:tblBorders>
            <w:insideH w:val="nil"/>
          </w:tblBorders>
        </w:tblPrEx>
        <w:tc>
          <w:tcPr>
            <w:tcW w:w="907" w:type="dxa"/>
            <w:tcBorders>
              <w:bottom w:val="nil"/>
            </w:tcBorders>
          </w:tcPr>
          <w:p>
            <w:pPr>
              <w:pStyle w:val="0"/>
              <w:jc w:val="center"/>
            </w:pPr>
            <w:r>
              <w:rPr>
                <w:sz w:val="20"/>
              </w:rPr>
              <w:t xml:space="preserve">45.</w:t>
            </w:r>
          </w:p>
        </w:tc>
        <w:tc>
          <w:tcPr>
            <w:tcW w:w="1304" w:type="dxa"/>
            <w:tcBorders>
              <w:bottom w:val="nil"/>
            </w:tcBorders>
          </w:tcPr>
          <w:p>
            <w:pPr>
              <w:pStyle w:val="0"/>
              <w:jc w:val="center"/>
            </w:pPr>
            <w:r>
              <w:rPr>
                <w:sz w:val="20"/>
              </w:rPr>
              <w:t xml:space="preserve">А.3.1.</w:t>
            </w:r>
          </w:p>
        </w:tc>
        <w:tc>
          <w:tcPr>
            <w:tcW w:w="3061" w:type="dxa"/>
            <w:tcBorders>
              <w:bottom w:val="nil"/>
            </w:tcBorders>
          </w:tcPr>
          <w:p>
            <w:pPr>
              <w:pStyle w:val="0"/>
            </w:pPr>
            <w:r>
              <w:rPr>
                <w:sz w:val="20"/>
              </w:rPr>
              <w:t xml:space="preserve">Доля архивных документов, в отношении которых существует угроза причинения вреда (ущерба) и (или) причинен вред (ущерб), исходя из нарушения режимов хранения документов и отсутствия специально оборудованного помещения под архив, выявленный за год, от общего количества архивных документов, хранящихся в организациях, участвующих в проведении профилактических визитов за год (Д), процентов</w:t>
            </w:r>
          </w:p>
        </w:tc>
        <w:tc>
          <w:tcPr>
            <w:tcW w:w="3572" w:type="dxa"/>
            <w:tcBorders>
              <w:bottom w:val="nil"/>
            </w:tcBorders>
          </w:tcPr>
          <w:p>
            <w:pPr>
              <w:pStyle w:val="0"/>
            </w:pPr>
            <w:r>
              <w:rPr>
                <w:sz w:val="20"/>
              </w:rPr>
              <w:t xml:space="preserve">Д = Кущ.док. / Кущ.пров. x 100%, где:</w:t>
            </w:r>
          </w:p>
          <w:p>
            <w:pPr>
              <w:pStyle w:val="0"/>
            </w:pPr>
            <w:r>
              <w:rPr>
                <w:sz w:val="20"/>
              </w:rPr>
              <w:t xml:space="preserve">Кущ.док. - количество единиц хранения архивных документов, в отношении которых существует угроза причинения вреда (ущерба) и (или) причинен вред (ущерб), выявленный за год;</w:t>
            </w:r>
          </w:p>
          <w:p>
            <w:pPr>
              <w:pStyle w:val="0"/>
            </w:pPr>
            <w:r>
              <w:rPr>
                <w:sz w:val="20"/>
              </w:rPr>
              <w:t xml:space="preserve">Кущ.пров. - общее количество единиц хранения архивных документов в организациях, участвующих в проведении профилактических визитов за год</w:t>
            </w:r>
          </w:p>
        </w:tc>
        <w:tc>
          <w:tcPr>
            <w:tcW w:w="136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не более 23%</w:t>
            </w:r>
          </w:p>
        </w:tc>
        <w:tc>
          <w:tcPr>
            <w:tcW w:w="1361" w:type="dxa"/>
            <w:tcBorders>
              <w:bottom w:val="nil"/>
            </w:tcBorders>
          </w:tcPr>
          <w:p>
            <w:pPr>
              <w:pStyle w:val="0"/>
              <w:jc w:val="center"/>
            </w:pPr>
            <w:r>
              <w:rPr>
                <w:sz w:val="20"/>
              </w:rPr>
              <w:t xml:space="preserve">не более 23%</w:t>
            </w:r>
          </w:p>
        </w:tc>
        <w:tc>
          <w:tcPr>
            <w:tcW w:w="1361" w:type="dxa"/>
            <w:tcBorders>
              <w:bottom w:val="nil"/>
            </w:tcBorders>
          </w:tcPr>
          <w:p>
            <w:pPr>
              <w:pStyle w:val="0"/>
              <w:jc w:val="center"/>
            </w:pPr>
            <w:r>
              <w:rPr>
                <w:sz w:val="20"/>
              </w:rPr>
              <w:t xml:space="preserve">не более 22%</w:t>
            </w:r>
          </w:p>
        </w:tc>
        <w:tc>
          <w:tcPr>
            <w:tcW w:w="1361" w:type="dxa"/>
            <w:tcBorders>
              <w:bottom w:val="nil"/>
            </w:tcBorders>
          </w:tcPr>
          <w:p>
            <w:pPr>
              <w:pStyle w:val="0"/>
              <w:jc w:val="center"/>
            </w:pPr>
            <w:r>
              <w:rPr>
                <w:sz w:val="20"/>
              </w:rPr>
              <w:t xml:space="preserve">не более 22%</w:t>
            </w:r>
          </w:p>
        </w:tc>
      </w:tr>
      <w:tr>
        <w:tblPrEx>
          <w:tblBorders>
            <w:insideH w:val="nil"/>
          </w:tblBorders>
        </w:tblPrEx>
        <w:tc>
          <w:tcPr>
            <w:gridSpan w:val="12"/>
            <w:tcW w:w="19732" w:type="dxa"/>
            <w:tcBorders>
              <w:top w:val="nil"/>
            </w:tcBorders>
          </w:tcPr>
          <w:p>
            <w:pPr>
              <w:pStyle w:val="0"/>
              <w:jc w:val="both"/>
            </w:pPr>
            <w:r>
              <w:rPr>
                <w:sz w:val="20"/>
              </w:rPr>
              <w:t xml:space="preserve">(п. 45 в ред. </w:t>
            </w:r>
            <w:hyperlink w:history="0" r:id="rId51"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рдловской области от 29.12.2017 N 1033-ПП&quot; {КонсультантПлюс}">
              <w:r>
                <w:rPr>
                  <w:sz w:val="20"/>
                  <w:color w:val="0000ff"/>
                </w:rPr>
                <w:t xml:space="preserve">Постановления</w:t>
              </w:r>
            </w:hyperlink>
            <w:r>
              <w:rPr>
                <w:sz w:val="20"/>
              </w:rPr>
              <w:t xml:space="preserve"> Правительства Свердловской области от 15.12.2022</w:t>
            </w:r>
          </w:p>
          <w:p>
            <w:pPr>
              <w:pStyle w:val="0"/>
              <w:jc w:val="both"/>
            </w:pPr>
            <w:r>
              <w:rPr>
                <w:sz w:val="20"/>
              </w:rPr>
              <w:t xml:space="preserve">N 865-ПП)</w:t>
            </w:r>
          </w:p>
        </w:tc>
      </w:tr>
      <w:tr>
        <w:tc>
          <w:tcPr>
            <w:tcW w:w="907" w:type="dxa"/>
          </w:tcPr>
          <w:p>
            <w:pPr>
              <w:pStyle w:val="0"/>
              <w:jc w:val="center"/>
            </w:pPr>
            <w:r>
              <w:rPr>
                <w:sz w:val="20"/>
              </w:rPr>
              <w:t xml:space="preserve">46.</w:t>
            </w:r>
          </w:p>
        </w:tc>
        <w:tc>
          <w:tcPr>
            <w:gridSpan w:val="11"/>
            <w:tcW w:w="18825" w:type="dxa"/>
          </w:tcPr>
          <w:p>
            <w:pPr>
              <w:pStyle w:val="0"/>
              <w:jc w:val="center"/>
            </w:pPr>
            <w:r>
              <w:rPr>
                <w:sz w:val="20"/>
              </w:rPr>
              <w:t xml:space="preserve">Региональный государственный контроль (надзор) в области регулируемых государством цен (тарифов) (Региональная энергетическая комиссия Свердловской области)</w:t>
            </w:r>
          </w:p>
        </w:tc>
      </w:tr>
      <w:tr>
        <w:tc>
          <w:tcPr>
            <w:tcW w:w="907" w:type="dxa"/>
          </w:tcPr>
          <w:p>
            <w:pPr>
              <w:pStyle w:val="0"/>
              <w:jc w:val="center"/>
            </w:pPr>
            <w:r>
              <w:rPr>
                <w:sz w:val="20"/>
              </w:rPr>
              <w:t xml:space="preserve">47.</w:t>
            </w:r>
          </w:p>
        </w:tc>
        <w:tc>
          <w:tcPr>
            <w:tcW w:w="1304" w:type="dxa"/>
          </w:tcPr>
          <w:p>
            <w:pPr>
              <w:pStyle w:val="0"/>
              <w:jc w:val="center"/>
            </w:pPr>
            <w:r>
              <w:rPr>
                <w:sz w:val="20"/>
              </w:rPr>
              <w:t xml:space="preserve">А.3.1.</w:t>
            </w:r>
          </w:p>
        </w:tc>
        <w:tc>
          <w:tcPr>
            <w:tcW w:w="3061" w:type="dxa"/>
          </w:tcPr>
          <w:p>
            <w:pPr>
              <w:pStyle w:val="0"/>
            </w:pPr>
            <w:r>
              <w:rPr>
                <w:sz w:val="20"/>
              </w:rPr>
              <w:t xml:space="preserve">Количество случаев причинения материального вреда потребителям по причине нарушения порядка ценообразования (М</w:t>
            </w:r>
            <w:r>
              <w:rPr>
                <w:sz w:val="20"/>
                <w:vertAlign w:val="subscript"/>
              </w:rPr>
              <w:t xml:space="preserve">вр</w:t>
            </w:r>
            <w:r>
              <w:rPr>
                <w:sz w:val="20"/>
              </w:rPr>
              <w:t xml:space="preserve">), единиц</w:t>
            </w:r>
          </w:p>
        </w:tc>
        <w:tc>
          <w:tcPr>
            <w:tcW w:w="3572" w:type="dxa"/>
          </w:tcPr>
          <w:p>
            <w:pPr>
              <w:pStyle w:val="0"/>
            </w:pPr>
            <w:r>
              <w:rPr>
                <w:sz w:val="20"/>
              </w:rPr>
              <w:t xml:space="preserve">М</w:t>
            </w:r>
            <w:r>
              <w:rPr>
                <w:sz w:val="20"/>
                <w:vertAlign w:val="subscript"/>
              </w:rPr>
              <w:t xml:space="preserve">вр</w:t>
            </w:r>
            <w:r>
              <w:rPr>
                <w:sz w:val="20"/>
              </w:rPr>
              <w:t xml:space="preserve"> = М</w:t>
            </w:r>
            <w:r>
              <w:rPr>
                <w:sz w:val="20"/>
                <w:vertAlign w:val="subscript"/>
              </w:rPr>
              <w:t xml:space="preserve">вр т.г.</w:t>
            </w:r>
            <w:r>
              <w:rPr>
                <w:sz w:val="20"/>
              </w:rPr>
              <w:t xml:space="preserve"> / М</w:t>
            </w:r>
            <w:r>
              <w:rPr>
                <w:sz w:val="20"/>
                <w:vertAlign w:val="subscript"/>
              </w:rPr>
              <w:t xml:space="preserve">вр пред.п</w:t>
            </w:r>
            <w:r>
              <w:rPr>
                <w:sz w:val="20"/>
              </w:rPr>
              <w:t xml:space="preserve">, где:</w:t>
            </w:r>
          </w:p>
          <w:p>
            <w:pPr>
              <w:pStyle w:val="0"/>
            </w:pPr>
            <w:r>
              <w:rPr>
                <w:sz w:val="20"/>
              </w:rPr>
              <w:t xml:space="preserve">М</w:t>
            </w:r>
            <w:r>
              <w:rPr>
                <w:sz w:val="20"/>
                <w:vertAlign w:val="subscript"/>
              </w:rPr>
              <w:t xml:space="preserve">вр т.г</w:t>
            </w:r>
            <w:r>
              <w:rPr>
                <w:sz w:val="20"/>
              </w:rPr>
              <w:t xml:space="preserve"> - количество случаев причинения материального вреда в текущем году, единиц;</w:t>
            </w:r>
          </w:p>
          <w:p>
            <w:pPr>
              <w:pStyle w:val="0"/>
            </w:pPr>
            <w:r>
              <w:rPr>
                <w:sz w:val="20"/>
              </w:rPr>
              <w:t xml:space="preserve">М</w:t>
            </w:r>
            <w:r>
              <w:rPr>
                <w:sz w:val="20"/>
                <w:vertAlign w:val="subscript"/>
              </w:rPr>
              <w:t xml:space="preserve">вр пред.п</w:t>
            </w:r>
            <w:r>
              <w:rPr>
                <w:sz w:val="20"/>
              </w:rPr>
              <w:t xml:space="preserve"> - среднегодовое количество случаев причинения материального вреда за предшествующие 5 лет, 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1,0</w:t>
            </w:r>
          </w:p>
        </w:tc>
        <w:tc>
          <w:tcPr>
            <w:tcW w:w="1361" w:type="dxa"/>
          </w:tcPr>
          <w:p>
            <w:pPr>
              <w:pStyle w:val="0"/>
              <w:jc w:val="center"/>
            </w:pPr>
            <w:r>
              <w:rPr>
                <w:sz w:val="20"/>
              </w:rPr>
              <w:t xml:space="preserve">не более 1,0</w:t>
            </w:r>
          </w:p>
        </w:tc>
        <w:tc>
          <w:tcPr>
            <w:tcW w:w="1361" w:type="dxa"/>
          </w:tcPr>
          <w:p>
            <w:pPr>
              <w:pStyle w:val="0"/>
              <w:jc w:val="center"/>
            </w:pPr>
            <w:r>
              <w:rPr>
                <w:sz w:val="20"/>
              </w:rPr>
              <w:t xml:space="preserve">не более 1,0</w:t>
            </w:r>
          </w:p>
        </w:tc>
        <w:tc>
          <w:tcPr>
            <w:tcW w:w="1361" w:type="dxa"/>
          </w:tcPr>
          <w:p>
            <w:pPr>
              <w:pStyle w:val="0"/>
              <w:jc w:val="center"/>
            </w:pPr>
            <w:r>
              <w:rPr>
                <w:sz w:val="20"/>
              </w:rPr>
              <w:t xml:space="preserve">не более 1,0</w:t>
            </w:r>
          </w:p>
        </w:tc>
        <w:tc>
          <w:tcPr>
            <w:tcW w:w="1361" w:type="dxa"/>
          </w:tcPr>
          <w:p>
            <w:pPr>
              <w:pStyle w:val="0"/>
              <w:jc w:val="center"/>
            </w:pPr>
            <w:r>
              <w:rPr>
                <w:sz w:val="20"/>
              </w:rPr>
              <w:t xml:space="preserve">не более 1,0</w:t>
            </w:r>
          </w:p>
        </w:tc>
      </w:tr>
      <w:tr>
        <w:tc>
          <w:tcPr>
            <w:tcW w:w="907" w:type="dxa"/>
          </w:tcPr>
          <w:p>
            <w:pPr>
              <w:pStyle w:val="0"/>
              <w:jc w:val="center"/>
            </w:pPr>
            <w:r>
              <w:rPr>
                <w:sz w:val="20"/>
              </w:rPr>
              <w:t xml:space="preserve">48.</w:t>
            </w:r>
          </w:p>
        </w:tc>
        <w:tc>
          <w:tcPr>
            <w:gridSpan w:val="11"/>
            <w:tcW w:w="18825" w:type="dxa"/>
          </w:tcPr>
          <w:p>
            <w:pPr>
              <w:pStyle w:val="0"/>
              <w:jc w:val="center"/>
            </w:pPr>
            <w:r>
              <w:rPr>
                <w:sz w:val="20"/>
              </w:rPr>
              <w:t xml:space="preserve">Региональный государственный контроль (надзор) в области обращения с животными (Департамент ветеринарии Свердловской области)</w:t>
            </w:r>
          </w:p>
        </w:tc>
      </w:tr>
      <w:tr>
        <w:tc>
          <w:tcPr>
            <w:tcW w:w="907" w:type="dxa"/>
          </w:tcPr>
          <w:p>
            <w:pPr>
              <w:pStyle w:val="0"/>
              <w:jc w:val="center"/>
            </w:pPr>
            <w:r>
              <w:rPr>
                <w:sz w:val="20"/>
              </w:rPr>
              <w:t xml:space="preserve">49.</w:t>
            </w:r>
          </w:p>
        </w:tc>
        <w:tc>
          <w:tcPr>
            <w:tcW w:w="1304" w:type="dxa"/>
          </w:tcPr>
          <w:p>
            <w:pPr>
              <w:pStyle w:val="0"/>
              <w:jc w:val="center"/>
            </w:pPr>
            <w:r>
              <w:rPr>
                <w:sz w:val="20"/>
              </w:rPr>
              <w:t xml:space="preserve">А.3.</w:t>
            </w:r>
          </w:p>
        </w:tc>
        <w:tc>
          <w:tcPr>
            <w:tcW w:w="3061" w:type="dxa"/>
          </w:tcPr>
          <w:p>
            <w:pPr>
              <w:pStyle w:val="0"/>
            </w:pPr>
            <w:r>
              <w:rPr>
                <w:sz w:val="20"/>
              </w:rPr>
              <w:t xml:space="preserve">Количество случаев причинения вреда животным в результате жестокого обращения с животными на 100000 населения (К), единиц</w:t>
            </w:r>
          </w:p>
        </w:tc>
        <w:tc>
          <w:tcPr>
            <w:tcW w:w="3572" w:type="dxa"/>
          </w:tcPr>
          <w:p>
            <w:pPr>
              <w:pStyle w:val="0"/>
            </w:pPr>
            <w:r>
              <w:rPr>
                <w:sz w:val="20"/>
              </w:rPr>
              <w:t xml:space="preserve">К = К</w:t>
            </w:r>
            <w:r>
              <w:rPr>
                <w:sz w:val="20"/>
                <w:vertAlign w:val="subscript"/>
              </w:rPr>
              <w:t xml:space="preserve">в</w:t>
            </w:r>
            <w:r>
              <w:rPr>
                <w:sz w:val="20"/>
              </w:rPr>
              <w:t xml:space="preserve"> / P x 100000, где:</w:t>
            </w:r>
          </w:p>
          <w:p>
            <w:pPr>
              <w:pStyle w:val="0"/>
            </w:pPr>
            <w:r>
              <w:rPr>
                <w:sz w:val="20"/>
              </w:rPr>
              <w:t xml:space="preserve">К</w:t>
            </w:r>
            <w:r>
              <w:rPr>
                <w:sz w:val="20"/>
                <w:vertAlign w:val="subscript"/>
              </w:rPr>
              <w:t xml:space="preserve">в</w:t>
            </w:r>
            <w:r>
              <w:rPr>
                <w:sz w:val="20"/>
              </w:rPr>
              <w:t xml:space="preserve"> - общее количество случаев причинения вреда животным в результате жестокого обращения за год, единиц;</w:t>
            </w:r>
          </w:p>
          <w:p>
            <w:pPr>
              <w:pStyle w:val="0"/>
            </w:pPr>
            <w:r>
              <w:rPr>
                <w:sz w:val="20"/>
              </w:rPr>
              <w:t xml:space="preserve">P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2,5</w:t>
            </w:r>
          </w:p>
        </w:tc>
        <w:tc>
          <w:tcPr>
            <w:tcW w:w="1361" w:type="dxa"/>
          </w:tcPr>
          <w:p>
            <w:pPr>
              <w:pStyle w:val="0"/>
              <w:jc w:val="center"/>
            </w:pPr>
            <w:r>
              <w:rPr>
                <w:sz w:val="20"/>
              </w:rPr>
              <w:t xml:space="preserve">не более 2</w:t>
            </w:r>
          </w:p>
        </w:tc>
        <w:tc>
          <w:tcPr>
            <w:tcW w:w="1361" w:type="dxa"/>
          </w:tcPr>
          <w:p>
            <w:pPr>
              <w:pStyle w:val="0"/>
              <w:jc w:val="center"/>
            </w:pPr>
            <w:r>
              <w:rPr>
                <w:sz w:val="20"/>
              </w:rPr>
              <w:t xml:space="preserve">не более 1,8</w:t>
            </w:r>
          </w:p>
        </w:tc>
        <w:tc>
          <w:tcPr>
            <w:tcW w:w="1361" w:type="dxa"/>
          </w:tcPr>
          <w:p>
            <w:pPr>
              <w:pStyle w:val="0"/>
              <w:jc w:val="center"/>
            </w:pPr>
            <w:r>
              <w:rPr>
                <w:sz w:val="20"/>
              </w:rPr>
              <w:t xml:space="preserve">не более 1,5</w:t>
            </w:r>
          </w:p>
        </w:tc>
      </w:tr>
      <w:tr>
        <w:tc>
          <w:tcPr>
            <w:tcW w:w="907" w:type="dxa"/>
          </w:tcPr>
          <w:p>
            <w:pPr>
              <w:pStyle w:val="0"/>
              <w:jc w:val="center"/>
            </w:pPr>
            <w:r>
              <w:rPr>
                <w:sz w:val="20"/>
              </w:rPr>
              <w:t xml:space="preserve">50.</w:t>
            </w:r>
          </w:p>
        </w:tc>
        <w:tc>
          <w:tcPr>
            <w:gridSpan w:val="11"/>
            <w:tcW w:w="18825" w:type="dxa"/>
          </w:tcPr>
          <w:p>
            <w:pPr>
              <w:pStyle w:val="0"/>
              <w:jc w:val="center"/>
            </w:pPr>
            <w:r>
              <w:rPr>
                <w:sz w:val="20"/>
              </w:rPr>
              <w:t xml:space="preserve">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(Министерство образования и молодежной политики Свердловской области)</w:t>
            </w:r>
          </w:p>
        </w:tc>
      </w:tr>
      <w:tr>
        <w:tc>
          <w:tcPr>
            <w:tcW w:w="907" w:type="dxa"/>
          </w:tcPr>
          <w:p>
            <w:pPr>
              <w:pStyle w:val="0"/>
              <w:jc w:val="center"/>
            </w:pPr>
            <w:r>
              <w:rPr>
                <w:sz w:val="20"/>
              </w:rPr>
              <w:t xml:space="preserve">51.</w:t>
            </w:r>
          </w:p>
        </w:tc>
        <w:tc>
          <w:tcPr>
            <w:tcW w:w="1304" w:type="dxa"/>
          </w:tcPr>
          <w:p>
            <w:pPr>
              <w:pStyle w:val="0"/>
              <w:jc w:val="center"/>
            </w:pPr>
            <w:r>
              <w:rPr>
                <w:sz w:val="20"/>
              </w:rPr>
              <w:t xml:space="preserve">А.1.</w:t>
            </w:r>
          </w:p>
        </w:tc>
        <w:tc>
          <w:tcPr>
            <w:tcW w:w="3061" w:type="dxa"/>
          </w:tcPr>
          <w:p>
            <w:pPr>
              <w:pStyle w:val="0"/>
            </w:pPr>
            <w:r>
              <w:rPr>
                <w:sz w:val="20"/>
              </w:rPr>
              <w:t xml:space="preserve">Доля организаций отдыха детей и их оздоровления, в отношении которых поступили сведения о нарушении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 (Д</w:t>
            </w:r>
            <w:r>
              <w:rPr>
                <w:sz w:val="20"/>
                <w:vertAlign w:val="subscript"/>
              </w:rPr>
              <w:t xml:space="preserve">орг.нар.</w:t>
            </w:r>
            <w:r>
              <w:rPr>
                <w:sz w:val="20"/>
              </w:rPr>
              <w:t xml:space="preserve">), процентов</w:t>
            </w:r>
          </w:p>
        </w:tc>
        <w:tc>
          <w:tcPr>
            <w:tcW w:w="3572" w:type="dxa"/>
          </w:tcPr>
          <w:p>
            <w:pPr>
              <w:pStyle w:val="0"/>
            </w:pPr>
            <w:r>
              <w:rPr>
                <w:sz w:val="20"/>
              </w:rPr>
              <w:t xml:space="preserve">Д</w:t>
            </w:r>
            <w:r>
              <w:rPr>
                <w:sz w:val="20"/>
                <w:vertAlign w:val="subscript"/>
              </w:rPr>
              <w:t xml:space="preserve">орг.нар.</w:t>
            </w:r>
            <w:r>
              <w:rPr>
                <w:sz w:val="20"/>
              </w:rPr>
              <w:t xml:space="preserve"> = К</w:t>
            </w:r>
            <w:r>
              <w:rPr>
                <w:sz w:val="20"/>
                <w:vertAlign w:val="subscript"/>
              </w:rPr>
              <w:t xml:space="preserve">орг.нар.</w:t>
            </w:r>
            <w:r>
              <w:rPr>
                <w:sz w:val="20"/>
              </w:rPr>
              <w:t xml:space="preserve"> / К</w:t>
            </w:r>
            <w:r>
              <w:rPr>
                <w:sz w:val="20"/>
                <w:vertAlign w:val="subscript"/>
              </w:rPr>
              <w:t xml:space="preserve">орг.</w:t>
            </w:r>
            <w:r>
              <w:rPr>
                <w:sz w:val="20"/>
              </w:rPr>
              <w:t xml:space="preserve"> x 100%, где:</w:t>
            </w:r>
          </w:p>
          <w:p>
            <w:pPr>
              <w:pStyle w:val="0"/>
            </w:pPr>
            <w:r>
              <w:rPr>
                <w:sz w:val="20"/>
              </w:rPr>
              <w:t xml:space="preserve">К</w:t>
            </w:r>
            <w:r>
              <w:rPr>
                <w:sz w:val="20"/>
                <w:vertAlign w:val="subscript"/>
              </w:rPr>
              <w:t xml:space="preserve">орг.нар.</w:t>
            </w:r>
            <w:r>
              <w:rPr>
                <w:sz w:val="20"/>
              </w:rPr>
              <w:t xml:space="preserve"> - количество организаций отдыха детей и их оздоровления, включенных в реестр организаций отдыха детей и их оздоровления, в отношении которых поступили сведения о нарушении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w:t>
            </w:r>
          </w:p>
          <w:p>
            <w:pPr>
              <w:pStyle w:val="0"/>
            </w:pPr>
            <w:r>
              <w:rPr>
                <w:sz w:val="20"/>
              </w:rPr>
              <w:t xml:space="preserve">К</w:t>
            </w:r>
            <w:r>
              <w:rPr>
                <w:sz w:val="20"/>
                <w:vertAlign w:val="subscript"/>
              </w:rPr>
              <w:t xml:space="preserve">орг.</w:t>
            </w:r>
            <w:r>
              <w:rPr>
                <w:sz w:val="20"/>
              </w:rPr>
              <w:t xml:space="preserve"> - количество организаций отдыха детей и их оздоровления, включенных в реестр организаций отдыха детей и их оздоровления</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не более 2%</w:t>
            </w:r>
          </w:p>
        </w:tc>
        <w:tc>
          <w:tcPr>
            <w:tcW w:w="1361" w:type="dxa"/>
          </w:tcPr>
          <w:p>
            <w:pPr>
              <w:pStyle w:val="0"/>
              <w:jc w:val="center"/>
            </w:pPr>
            <w:r>
              <w:rPr>
                <w:sz w:val="20"/>
              </w:rPr>
              <w:t xml:space="preserve">не более 1,5%</w:t>
            </w:r>
          </w:p>
        </w:tc>
        <w:tc>
          <w:tcPr>
            <w:tcW w:w="1361" w:type="dxa"/>
          </w:tcPr>
          <w:p>
            <w:pPr>
              <w:pStyle w:val="0"/>
              <w:jc w:val="center"/>
            </w:pPr>
            <w:r>
              <w:rPr>
                <w:sz w:val="20"/>
              </w:rPr>
              <w:t xml:space="preserve">не более 1%</w:t>
            </w:r>
          </w:p>
        </w:tc>
        <w:tc>
          <w:tcPr>
            <w:tcW w:w="1361" w:type="dxa"/>
          </w:tcPr>
          <w:p>
            <w:pPr>
              <w:pStyle w:val="0"/>
              <w:jc w:val="center"/>
            </w:pPr>
            <w:r>
              <w:rPr>
                <w:sz w:val="20"/>
              </w:rPr>
              <w:t xml:space="preserve">не более 0,5%</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1"/>
        <w:jc w:val="center"/>
      </w:pPr>
      <w:r>
        <w:rPr>
          <w:sz w:val="20"/>
        </w:rPr>
        <w:t xml:space="preserve">Раздел 2. ИНДИКАТИВНЫЕ ПОКАЗАТЕЛИ ЭФФЕКТИВНОСТИ ГРУППЫ "Б",</w:t>
      </w:r>
    </w:p>
    <w:p>
      <w:pPr>
        <w:pStyle w:val="2"/>
        <w:jc w:val="center"/>
      </w:pPr>
      <w:r>
        <w:rPr>
          <w:sz w:val="20"/>
        </w:rPr>
        <w:t xml:space="preserve">ОТРАЖАЮЩИЕ УРОВЕНЬ БЕЗОПАСНОСТИ ОХРАНЯЕМЫХ ЗАКОНОМ</w:t>
      </w:r>
    </w:p>
    <w:p>
      <w:pPr>
        <w:pStyle w:val="2"/>
        <w:jc w:val="center"/>
      </w:pPr>
      <w:r>
        <w:rPr>
          <w:sz w:val="20"/>
        </w:rPr>
        <w:t xml:space="preserve">ЦЕННОСТЕЙ, ВЫРАЖАЮЩИЙСЯ В МИНИМИЗАЦИИ ПРИЧИНЕНИЯ ИМ ВРЕДА</w:t>
      </w:r>
    </w:p>
    <w:p>
      <w:pPr>
        <w:pStyle w:val="2"/>
        <w:jc w:val="center"/>
      </w:pPr>
      <w:r>
        <w:rPr>
          <w:sz w:val="20"/>
        </w:rPr>
        <w:t xml:space="preserve">(УЩЕРБА), С УЧЕТОМ ЗАДЕЙСТВОВАННЫХ ТРУДОВЫХ, МАТЕРИАЛЬНЫХ</w:t>
      </w:r>
    </w:p>
    <w:p>
      <w:pPr>
        <w:pStyle w:val="2"/>
        <w:jc w:val="center"/>
      </w:pPr>
      <w:r>
        <w:rPr>
          <w:sz w:val="20"/>
        </w:rPr>
        <w:t xml:space="preserve">И ФИНАНСОВЫХ РЕСУРСОВ ПРИ ОСУЩЕСТВЛЕНИИ В ОТНОШЕНИИ НИХ</w:t>
      </w:r>
    </w:p>
    <w:p>
      <w:pPr>
        <w:pStyle w:val="2"/>
        <w:jc w:val="center"/>
      </w:pPr>
      <w:r>
        <w:rPr>
          <w:sz w:val="20"/>
        </w:rPr>
        <w:t xml:space="preserve">КОНТРОЛЬНО-НАДЗОРНЫХ МЕРОПРИЯТИЙ</w:t>
      </w:r>
    </w:p>
    <w:p>
      <w:pPr>
        <w:pStyle w:val="0"/>
      </w:pPr>
      <w:r>
        <w:rPr>
          <w:sz w:val="20"/>
        </w:rPr>
      </w:r>
    </w:p>
    <w:p>
      <w:pPr>
        <w:pStyle w:val="0"/>
        <w:ind w:firstLine="540"/>
        <w:jc w:val="both"/>
      </w:pPr>
      <w:r>
        <w:rPr>
          <w:sz w:val="20"/>
        </w:rPr>
        <w:t xml:space="preserve">Показатель "Эффективность контрольно-надзорной деятельности" рассчитывается для всех видов регионального контроля по общей формуле:</w:t>
      </w:r>
    </w:p>
    <w:p>
      <w:pPr>
        <w:pStyle w:val="0"/>
      </w:pPr>
      <w:r>
        <w:rPr>
          <w:sz w:val="20"/>
        </w:rPr>
      </w:r>
    </w:p>
    <w:p>
      <w:pPr>
        <w:pStyle w:val="0"/>
        <w:jc w:val="center"/>
      </w:pPr>
      <w:r>
        <w:rPr>
          <w:position w:val="-23"/>
        </w:rPr>
        <w:drawing>
          <wp:inline distT="0" distB="0" distL="0" distR="0">
            <wp:extent cx="1790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pPr>
        <w:pStyle w:val="0"/>
      </w:pPr>
      <w:r>
        <w:rPr>
          <w:sz w:val="20"/>
        </w:rPr>
      </w:r>
    </w:p>
    <w:p>
      <w:pPr>
        <w:pStyle w:val="0"/>
        <w:ind w:firstLine="540"/>
        <w:jc w:val="both"/>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причиненным ущербом в предшествующем периоде (Т-1) и причиненным ущербом в текущем периоде (Т) (млн. рублей);</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рублей);</w:t>
      </w:r>
    </w:p>
    <w:p>
      <w:pPr>
        <w:pStyle w:val="0"/>
        <w:spacing w:before="200" w:line-rule="auto"/>
        <w:ind w:firstLine="540"/>
        <w:jc w:val="both"/>
      </w:pPr>
      <w:r>
        <w:rPr>
          <w:sz w:val="20"/>
        </w:rPr>
        <w:t xml:space="preserve">У</w:t>
      </w:r>
      <w:r>
        <w:rPr>
          <w:sz w:val="20"/>
          <w:vertAlign w:val="subscript"/>
        </w:rPr>
        <w:t xml:space="preserve">Т-1</w:t>
      </w:r>
      <w:r>
        <w:rPr>
          <w:sz w:val="20"/>
        </w:rPr>
        <w:t xml:space="preserve"> - причиненный ущерб в предшествующем периоде (Т-1) (млн. рублей);</w:t>
      </w:r>
    </w:p>
    <w:p>
      <w:pPr>
        <w:pStyle w:val="0"/>
        <w:spacing w:before="200" w:line-rule="auto"/>
        <w:ind w:firstLine="540"/>
        <w:jc w:val="both"/>
      </w:pPr>
      <w:r>
        <w:rPr>
          <w:sz w:val="20"/>
        </w:rPr>
        <w:t xml:space="preserve">Р</w:t>
      </w:r>
      <w:r>
        <w:rPr>
          <w:sz w:val="20"/>
          <w:vertAlign w:val="subscript"/>
        </w:rPr>
        <w:t xml:space="preserve">Т-1</w:t>
      </w:r>
      <w:r>
        <w:rPr>
          <w:sz w:val="20"/>
        </w:rPr>
        <w:t xml:space="preserve"> - расходы на исполнение полномочий в предшествующем периоде (Т-1) (млн. рублей).</w:t>
      </w:r>
    </w:p>
    <w:p>
      <w:pPr>
        <w:pStyle w:val="0"/>
        <w:spacing w:before="200" w:line-rule="auto"/>
        <w:ind w:firstLine="540"/>
        <w:jc w:val="both"/>
      </w:pPr>
      <w:r>
        <w:rPr>
          <w:sz w:val="20"/>
        </w:rPr>
        <w:t xml:space="preserve">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p>
      <w:pPr>
        <w:pStyle w:val="0"/>
        <w:spacing w:before="200" w:line-rule="auto"/>
        <w:ind w:firstLine="540"/>
        <w:jc w:val="both"/>
      </w:pPr>
      <w:r>
        <w:rPr>
          <w:sz w:val="20"/>
        </w:rPr>
        <w:t xml:space="preserve">Особенности расчета показателя "Эффективность контрольно-надзорной деятельности" для отдельных видов контроля приведены в таблице 2.</w:t>
      </w:r>
    </w:p>
    <w:p>
      <w:pPr>
        <w:pStyle w:val="0"/>
      </w:pPr>
      <w:r>
        <w:rPr>
          <w:sz w:val="20"/>
        </w:rPr>
      </w:r>
    </w:p>
    <w:p>
      <w:pPr>
        <w:pStyle w:val="0"/>
        <w:outlineLvl w:val="2"/>
        <w:jc w:val="right"/>
      </w:pPr>
      <w:r>
        <w:rPr>
          <w:sz w:val="20"/>
        </w:rPr>
        <w:t xml:space="preserve">Таблица 2</w:t>
      </w:r>
    </w:p>
    <w:p>
      <w:pPr>
        <w:pStyle w:val="0"/>
        <w:jc w:val="center"/>
      </w:pPr>
      <w:r>
        <w:rPr>
          <w:sz w:val="20"/>
        </w:rPr>
        <w:t xml:space="preserve">(в ред. </w:t>
      </w:r>
      <w:hyperlink w:history="0" r:id="rId55"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29.12.2021 N 994-ПП)</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18"/>
        <w:gridCol w:w="9581"/>
      </w:tblGrid>
      <w:tr>
        <w:tc>
          <w:tcPr>
            <w:tcW w:w="907" w:type="dxa"/>
          </w:tcPr>
          <w:p>
            <w:pPr>
              <w:pStyle w:val="0"/>
              <w:jc w:val="center"/>
            </w:pPr>
            <w:r>
              <w:rPr>
                <w:sz w:val="20"/>
              </w:rPr>
              <w:t xml:space="preserve">Номер строки</w:t>
            </w:r>
          </w:p>
        </w:tc>
        <w:tc>
          <w:tcPr>
            <w:tcW w:w="3118" w:type="dxa"/>
          </w:tcPr>
          <w:p>
            <w:pPr>
              <w:pStyle w:val="0"/>
              <w:jc w:val="center"/>
            </w:pPr>
            <w:r>
              <w:rPr>
                <w:sz w:val="20"/>
              </w:rPr>
              <w:t xml:space="preserve">Вид контроля (орган контроля)</w:t>
            </w:r>
          </w:p>
        </w:tc>
        <w:tc>
          <w:tcPr>
            <w:tcW w:w="9581" w:type="dxa"/>
          </w:tcPr>
          <w:p>
            <w:pPr>
              <w:pStyle w:val="0"/>
              <w:jc w:val="center"/>
            </w:pPr>
            <w:r>
              <w:rPr>
                <w:sz w:val="20"/>
              </w:rPr>
              <w:t xml:space="preserve">Особенности расчета показателя</w:t>
            </w:r>
          </w:p>
        </w:tc>
      </w:tr>
      <w:tr>
        <w:tc>
          <w:tcPr>
            <w:tcW w:w="907" w:type="dxa"/>
          </w:tcPr>
          <w:p>
            <w:pPr>
              <w:pStyle w:val="0"/>
              <w:jc w:val="center"/>
            </w:pPr>
            <w:r>
              <w:rPr>
                <w:sz w:val="20"/>
              </w:rPr>
              <w:t xml:space="preserve">1</w:t>
            </w:r>
          </w:p>
        </w:tc>
        <w:tc>
          <w:tcPr>
            <w:tcW w:w="3118" w:type="dxa"/>
          </w:tcPr>
          <w:p>
            <w:pPr>
              <w:pStyle w:val="0"/>
              <w:jc w:val="center"/>
            </w:pPr>
            <w:r>
              <w:rPr>
                <w:sz w:val="20"/>
              </w:rPr>
              <w:t xml:space="preserve">2</w:t>
            </w:r>
          </w:p>
        </w:tc>
        <w:tc>
          <w:tcPr>
            <w:tcW w:w="9581" w:type="dxa"/>
          </w:tcPr>
          <w:p>
            <w:pPr>
              <w:pStyle w:val="0"/>
              <w:jc w:val="center"/>
            </w:pPr>
            <w:r>
              <w:rPr>
                <w:sz w:val="20"/>
              </w:rPr>
              <w:t xml:space="preserve">3</w:t>
            </w:r>
          </w:p>
        </w:tc>
      </w:tr>
      <w:tr>
        <w:tc>
          <w:tcPr>
            <w:tcW w:w="907" w:type="dxa"/>
          </w:tcPr>
          <w:p>
            <w:pPr>
              <w:pStyle w:val="0"/>
              <w:jc w:val="center"/>
            </w:pPr>
            <w:r>
              <w:rPr>
                <w:sz w:val="20"/>
              </w:rPr>
              <w:t xml:space="preserve">1.</w:t>
            </w:r>
          </w:p>
        </w:tc>
        <w:tc>
          <w:tcPr>
            <w:tcW w:w="3118" w:type="dxa"/>
          </w:tcPr>
          <w:p>
            <w:pPr>
              <w:pStyle w:val="0"/>
            </w:pPr>
            <w:r>
              <w:rPr>
                <w:sz w:val="20"/>
              </w:rPr>
              <w:t xml:space="preserve">Региональный государственный экологический контроль (надзор) (Министерство природных ресурсов и экологии Свердловской области)</w:t>
            </w:r>
          </w:p>
        </w:tc>
        <w:tc>
          <w:tcPr>
            <w:tcW w:w="9581" w:type="dxa"/>
          </w:tcPr>
          <w:p>
            <w:pPr>
              <w:pStyle w:val="0"/>
            </w:pPr>
            <w:r>
              <w:rPr>
                <w:sz w:val="20"/>
              </w:rPr>
              <w:t xml:space="preserve">показатель рассчитывается по общей формуле</w:t>
            </w:r>
          </w:p>
        </w:tc>
      </w:tr>
      <w:tr>
        <w:tc>
          <w:tcPr>
            <w:tcW w:w="907" w:type="dxa"/>
          </w:tcPr>
          <w:p>
            <w:pPr>
              <w:pStyle w:val="0"/>
              <w:jc w:val="center"/>
            </w:pPr>
            <w:r>
              <w:rPr>
                <w:sz w:val="20"/>
              </w:rPr>
              <w:t xml:space="preserve">2.</w:t>
            </w:r>
          </w:p>
        </w:tc>
        <w:tc>
          <w:tcPr>
            <w:tcW w:w="3118" w:type="dxa"/>
          </w:tcPr>
          <w:p>
            <w:pPr>
              <w:pStyle w:val="0"/>
            </w:pPr>
            <w:r>
              <w:rPr>
                <w:sz w:val="20"/>
              </w:rPr>
              <w:t xml:space="preserve">Региональный государственный геологический контроль (надзор) (Министерство природных ресурсов и экологии Свердловской области)</w:t>
            </w:r>
          </w:p>
        </w:tc>
        <w:tc>
          <w:tcPr>
            <w:tcW w:w="9581" w:type="dxa"/>
          </w:tcPr>
          <w:p>
            <w:pPr>
              <w:pStyle w:val="0"/>
            </w:pPr>
            <w:r>
              <w:rPr>
                <w:sz w:val="20"/>
              </w:rPr>
              <w:t xml:space="preserve">показатель рассчитывается по общей формуле</w:t>
            </w:r>
          </w:p>
        </w:tc>
      </w:tr>
      <w:tr>
        <w:tc>
          <w:tcPr>
            <w:tcW w:w="907" w:type="dxa"/>
          </w:tcPr>
          <w:p>
            <w:pPr>
              <w:pStyle w:val="0"/>
              <w:jc w:val="center"/>
            </w:pPr>
            <w:r>
              <w:rPr>
                <w:sz w:val="20"/>
              </w:rPr>
              <w:t xml:space="preserve">3.</w:t>
            </w:r>
          </w:p>
        </w:tc>
        <w:tc>
          <w:tcPr>
            <w:tcW w:w="3118" w:type="dxa"/>
          </w:tcPr>
          <w:p>
            <w:pPr>
              <w:pStyle w:val="0"/>
            </w:pPr>
            <w:r>
              <w:rPr>
                <w:sz w:val="20"/>
              </w:rPr>
              <w:t xml:space="preserve">Региональный государственный контроль (надзор) в сфере охраны и использования особо охраняемых природных территорий (Министерство природных ресурсов и экологии Свердловской области)</w:t>
            </w:r>
          </w:p>
        </w:tc>
        <w:tc>
          <w:tcPr>
            <w:tcW w:w="9581" w:type="dxa"/>
          </w:tcPr>
          <w:p>
            <w:pPr>
              <w:pStyle w:val="0"/>
            </w:pPr>
            <w:r>
              <w:rPr>
                <w:sz w:val="20"/>
              </w:rPr>
              <w:t xml:space="preserve">показатель рассчитывается по общей формуле</w:t>
            </w:r>
          </w:p>
        </w:tc>
      </w:tr>
      <w:tr>
        <w:tc>
          <w:tcPr>
            <w:tcW w:w="907" w:type="dxa"/>
          </w:tcPr>
          <w:p>
            <w:pPr>
              <w:pStyle w:val="0"/>
              <w:jc w:val="center"/>
            </w:pPr>
            <w:r>
              <w:rPr>
                <w:sz w:val="20"/>
              </w:rPr>
              <w:t xml:space="preserve">4.</w:t>
            </w:r>
          </w:p>
        </w:tc>
        <w:tc>
          <w:tcPr>
            <w:tcW w:w="3118" w:type="dxa"/>
          </w:tcPr>
          <w:p>
            <w:pPr>
              <w:pStyle w:val="0"/>
            </w:pPr>
            <w:r>
              <w:rPr>
                <w:sz w:val="20"/>
              </w:rPr>
              <w:t xml:space="preserve">Региональный государственный контроль (надзор) в области розничной продажи алкогольной и спиртосодержащей продукции (Министерство агропромышленного комплекса и потребительского рынка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причиненным ущербом от утраты среднестатистической жизни в результате отравления алкогольной продукцией, приобретенной у организаций, имеющих лицензию на розничную продажу алкогольной продукции, в предшествующем периоде (Т-1) и причиненным ущербом в текущем периоде (Т)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и расходами на исполнение полномочий в текущем периоде (Т) (млн. рублей);</w:t>
            </w:r>
          </w:p>
          <w:p>
            <w:pPr>
              <w:pStyle w:val="0"/>
            </w:pPr>
            <w:r>
              <w:rPr>
                <w:sz w:val="20"/>
              </w:rPr>
              <w:t xml:space="preserve">У</w:t>
            </w:r>
            <w:r>
              <w:rPr>
                <w:sz w:val="20"/>
                <w:vertAlign w:val="subscript"/>
              </w:rPr>
              <w:t xml:space="preserve">Т-1</w:t>
            </w:r>
            <w:r>
              <w:rPr>
                <w:sz w:val="20"/>
              </w:rPr>
              <w:t xml:space="preserve"> - причиненный ущерб от утраты среднестатистической жизни в результате отравления алкогольной продукцией, приобретенной у организаций, имеющих лицензию на розничную продажу алкогольной продукции, в предшествующем периоде (Т-1) (млн. рублей);</w:t>
            </w:r>
          </w:p>
          <w:p>
            <w:pPr>
              <w:pStyle w:val="0"/>
            </w:pPr>
            <w:r>
              <w:rPr>
                <w:sz w:val="20"/>
              </w:rPr>
              <w:t xml:space="preserve">Р</w:t>
            </w:r>
            <w:r>
              <w:rPr>
                <w:sz w:val="20"/>
                <w:vertAlign w:val="subscript"/>
              </w:rPr>
              <w:t xml:space="preserve">Т-1</w:t>
            </w:r>
            <w:r>
              <w:rPr>
                <w:sz w:val="20"/>
              </w:rPr>
              <w:t xml:space="preserve"> - расходы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(млн. рублей)</w:t>
            </w:r>
          </w:p>
        </w:tc>
      </w:tr>
      <w:tr>
        <w:tc>
          <w:tcPr>
            <w:tcW w:w="907" w:type="dxa"/>
          </w:tcPr>
          <w:p>
            <w:pPr>
              <w:pStyle w:val="0"/>
              <w:jc w:val="center"/>
            </w:pPr>
            <w:r>
              <w:rPr>
                <w:sz w:val="20"/>
              </w:rPr>
              <w:t xml:space="preserve">5.</w:t>
            </w:r>
          </w:p>
        </w:tc>
        <w:tc>
          <w:tcPr>
            <w:tcW w:w="3118" w:type="dxa"/>
          </w:tcPr>
          <w:p>
            <w:pPr>
              <w:pStyle w:val="0"/>
            </w:pPr>
            <w:r>
              <w:rPr>
                <w:sz w:val="20"/>
              </w:rPr>
              <w:t xml:space="preserve">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Свердловской области (Министерство агропромышленного комплекса и потребительского рынка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причиненным ущербом от утраты среднестатистической жизни в результате получения травмы, несовместимой с жизнью, при эксплуатации трактора, самоходной машины или прицепа к ним с действующим свидетельством о прохождении технического осмотра либо аттракциона, зарегистрированного в установленном порядке, в предшествующем периоде (Т-1) и причиненным ущербом в текущем периоде (Т)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по региональному государственному надзору в области технического состояния и эксплуатации самоходных машин и других видов техники, аттракционов на территории Свердловской области в предшествующем периоде (Т-1) и расходами на исполнение полномочий в текущем периоде (Т) (млн. рублей);</w:t>
            </w:r>
          </w:p>
          <w:p>
            <w:pPr>
              <w:pStyle w:val="0"/>
            </w:pPr>
            <w:r>
              <w:rPr>
                <w:sz w:val="20"/>
              </w:rPr>
              <w:t xml:space="preserve">У</w:t>
            </w:r>
            <w:r>
              <w:rPr>
                <w:sz w:val="20"/>
                <w:vertAlign w:val="subscript"/>
              </w:rPr>
              <w:t xml:space="preserve">Т-1</w:t>
            </w:r>
            <w:r>
              <w:rPr>
                <w:sz w:val="20"/>
              </w:rPr>
              <w:t xml:space="preserve"> - причиненный ущерб от утраты среднестатистической жизни в результате получения травмы, несовместимой с жизнью, при эксплуатации трактора, самоходной машины или прицепа к ним с действующим свидетельством о прохождении технического осмотра либо аттракциона, зарегистрированного в установленном порядке, в предшествующем периоде (Т-1) (млн. рублей);</w:t>
            </w:r>
          </w:p>
          <w:p>
            <w:pPr>
              <w:pStyle w:val="0"/>
            </w:pPr>
            <w:r>
              <w:rPr>
                <w:sz w:val="20"/>
              </w:rPr>
              <w:t xml:space="preserve">Р</w:t>
            </w:r>
            <w:r>
              <w:rPr>
                <w:sz w:val="20"/>
                <w:vertAlign w:val="subscript"/>
              </w:rPr>
              <w:t xml:space="preserve">Т-1</w:t>
            </w:r>
            <w:r>
              <w:rPr>
                <w:sz w:val="20"/>
              </w:rPr>
              <w:t xml:space="preserve"> - расходы на исполнение полномочий по региональному государственному надзору в области технического состояния и эксплуатации самоходных машин и других видов техники, аттракционов на территории Свердловской области в предшествующем периоде (Т-1) (млн. рублей)</w:t>
            </w:r>
          </w:p>
        </w:tc>
      </w:tr>
      <w:tr>
        <w:tc>
          <w:tcPr>
            <w:tcW w:w="907" w:type="dxa"/>
          </w:tcPr>
          <w:p>
            <w:pPr>
              <w:pStyle w:val="0"/>
              <w:jc w:val="center"/>
            </w:pPr>
            <w:r>
              <w:rPr>
                <w:sz w:val="20"/>
              </w:rPr>
              <w:t xml:space="preserve">6.</w:t>
            </w:r>
          </w:p>
        </w:tc>
        <w:tc>
          <w:tcPr>
            <w:tcW w:w="3118" w:type="dxa"/>
          </w:tcPr>
          <w:p>
            <w:pPr>
              <w:pStyle w:val="0"/>
            </w:pPr>
            <w:r>
              <w:rPr>
                <w:sz w:val="20"/>
              </w:rPr>
              <w:t xml:space="preserve">Региональный государственный строительный надзор (Департамент государственного жилищного и строительного надзора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Д</w:t>
            </w:r>
            <w:r>
              <w:rPr>
                <w:sz w:val="20"/>
                <w:vertAlign w:val="subscript"/>
              </w:rPr>
              <w:t xml:space="preserve">псн</w:t>
            </w:r>
            <w:r>
              <w:rPr>
                <w:sz w:val="20"/>
              </w:rPr>
              <w:t xml:space="preserve"> = П</w:t>
            </w:r>
            <w:r>
              <w:rPr>
                <w:sz w:val="20"/>
                <w:vertAlign w:val="subscript"/>
              </w:rPr>
              <w:t xml:space="preserve">исн</w:t>
            </w:r>
            <w:r>
              <w:rPr>
                <w:sz w:val="20"/>
              </w:rPr>
              <w:t xml:space="preserve"> / П</w:t>
            </w:r>
            <w:r>
              <w:rPr>
                <w:sz w:val="20"/>
                <w:vertAlign w:val="subscript"/>
              </w:rPr>
              <w:t xml:space="preserve">осн</w:t>
            </w:r>
            <w:r>
              <w:rPr>
                <w:sz w:val="20"/>
              </w:rPr>
              <w:t xml:space="preserve"> x 100%, где:</w:t>
            </w:r>
          </w:p>
          <w:p>
            <w:pPr>
              <w:pStyle w:val="0"/>
            </w:pPr>
            <w:r>
              <w:rPr>
                <w:sz w:val="20"/>
              </w:rPr>
              <w:t xml:space="preserve">Д</w:t>
            </w:r>
            <w:r>
              <w:rPr>
                <w:sz w:val="20"/>
                <w:vertAlign w:val="subscript"/>
              </w:rPr>
              <w:t xml:space="preserve">псн</w:t>
            </w:r>
            <w:r>
              <w:rPr>
                <w:sz w:val="20"/>
              </w:rPr>
              <w:t xml:space="preserve"> - доля исполненных предписаний, выданных по результатам проверок, проведенных в рамках регионального государственного строительного надзора, процентов;</w:t>
            </w:r>
          </w:p>
          <w:p>
            <w:pPr>
              <w:pStyle w:val="0"/>
            </w:pPr>
            <w:r>
              <w:rPr>
                <w:sz w:val="20"/>
              </w:rPr>
              <w:t xml:space="preserve">П</w:t>
            </w:r>
            <w:r>
              <w:rPr>
                <w:sz w:val="20"/>
                <w:vertAlign w:val="subscript"/>
              </w:rPr>
              <w:t xml:space="preserve">исн</w:t>
            </w:r>
            <w:r>
              <w:rPr>
                <w:sz w:val="20"/>
              </w:rPr>
              <w:t xml:space="preserve"> - количество предписаний, исполненных в отчетном периоде, единиц;</w:t>
            </w:r>
          </w:p>
          <w:p>
            <w:pPr>
              <w:pStyle w:val="0"/>
            </w:pPr>
            <w:r>
              <w:rPr>
                <w:sz w:val="20"/>
              </w:rPr>
              <w:t xml:space="preserve">П</w:t>
            </w:r>
            <w:r>
              <w:rPr>
                <w:sz w:val="20"/>
                <w:vertAlign w:val="subscript"/>
              </w:rPr>
              <w:t xml:space="preserve">осн</w:t>
            </w:r>
            <w:r>
              <w:rPr>
                <w:sz w:val="20"/>
              </w:rPr>
              <w:t xml:space="preserve"> - общее количество выданных предписаний, срок исполнения которых приходится на отчетный период, единиц.</w:t>
            </w:r>
          </w:p>
          <w:p>
            <w:pPr>
              <w:pStyle w:val="0"/>
            </w:pPr>
            <w:r>
              <w:rPr>
                <w:sz w:val="20"/>
              </w:rPr>
              <w:t xml:space="preserve">Источник данных для определения значения показателя: данные результатов проверок, проведенных в рамках регионального государственного строительного надзора в отчетном периоде, отчета по </w:t>
            </w:r>
            <w:hyperlink w:history="0" r:id="rId56"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quot; {КонсультантПлюс}">
              <w:r>
                <w:rPr>
                  <w:sz w:val="20"/>
                  <w:color w:val="0000ff"/>
                </w:rPr>
                <w:t xml:space="preserve">форме</w:t>
              </w:r>
            </w:hyperlink>
            <w:r>
              <w:rPr>
                <w:sz w:val="20"/>
              </w:rPr>
              <w:t xml:space="preserve"> федерального статистического наблюдения N 1-контроль, утвержденной Приказом 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(далее - Приказ Росстата от 21.12.2011 N 503)</w:t>
            </w:r>
          </w:p>
        </w:tc>
      </w:tr>
      <w:tr>
        <w:tc>
          <w:tcPr>
            <w:tcW w:w="907" w:type="dxa"/>
          </w:tcPr>
          <w:p>
            <w:pPr>
              <w:pStyle w:val="0"/>
              <w:jc w:val="center"/>
            </w:pPr>
            <w:r>
              <w:rPr>
                <w:sz w:val="20"/>
              </w:rPr>
              <w:t xml:space="preserve">7.</w:t>
            </w:r>
          </w:p>
        </w:tc>
        <w:tc>
          <w:tcPr>
            <w:tcW w:w="3118" w:type="dxa"/>
          </w:tcPr>
          <w:p>
            <w:pPr>
              <w:pStyle w:val="0"/>
            </w:pPr>
            <w:r>
              <w:rPr>
                <w:sz w:val="20"/>
              </w:rPr>
              <w:t xml:space="preserve">Региональный государственный контроль (надзор) в области долевого строительства многоквартирных домов и (или) иных объектов недвижимости (Департамент государственного жилищного и строительного надзора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Д</w:t>
            </w:r>
            <w:r>
              <w:rPr>
                <w:sz w:val="20"/>
                <w:vertAlign w:val="subscript"/>
              </w:rPr>
              <w:t xml:space="preserve">п</w:t>
            </w:r>
            <w:r>
              <w:rPr>
                <w:sz w:val="20"/>
              </w:rPr>
              <w:t xml:space="preserve"> = П</w:t>
            </w:r>
            <w:r>
              <w:rPr>
                <w:sz w:val="20"/>
                <w:vertAlign w:val="subscript"/>
              </w:rPr>
              <w:t xml:space="preserve">и</w:t>
            </w:r>
            <w:r>
              <w:rPr>
                <w:sz w:val="20"/>
              </w:rPr>
              <w:t xml:space="preserve"> / П</w:t>
            </w:r>
            <w:r>
              <w:rPr>
                <w:sz w:val="20"/>
                <w:vertAlign w:val="subscript"/>
              </w:rPr>
              <w:t xml:space="preserve">о</w:t>
            </w:r>
            <w:r>
              <w:rPr>
                <w:sz w:val="20"/>
              </w:rPr>
              <w:t xml:space="preserve"> x 100%, где:</w:t>
            </w:r>
          </w:p>
          <w:p>
            <w:pPr>
              <w:pStyle w:val="0"/>
            </w:pPr>
            <w:r>
              <w:rPr>
                <w:sz w:val="20"/>
              </w:rPr>
              <w:t xml:space="preserve">Д</w:t>
            </w:r>
            <w:r>
              <w:rPr>
                <w:sz w:val="20"/>
                <w:vertAlign w:val="subscript"/>
              </w:rPr>
              <w:t xml:space="preserve">п</w:t>
            </w:r>
            <w:r>
              <w:rPr>
                <w:sz w:val="20"/>
              </w:rPr>
              <w:t xml:space="preserve"> - доля исполненных предписаний, выданных по результатам проверок, проведенных в рамках регионального государственного контроля (надзора) в области долевого строительства многоквартирных домов и (или) иных объектов недвижимости, процентов;</w:t>
            </w:r>
          </w:p>
          <w:p>
            <w:pPr>
              <w:pStyle w:val="0"/>
            </w:pPr>
            <w:r>
              <w:rPr>
                <w:sz w:val="20"/>
              </w:rPr>
              <w:t xml:space="preserve">П</w:t>
            </w:r>
            <w:r>
              <w:rPr>
                <w:sz w:val="20"/>
                <w:vertAlign w:val="subscript"/>
              </w:rPr>
              <w:t xml:space="preserve">и</w:t>
            </w:r>
            <w:r>
              <w:rPr>
                <w:sz w:val="20"/>
              </w:rPr>
              <w:t xml:space="preserve"> - количество предписаний, исполненных в отчетном периоде, единиц;</w:t>
            </w:r>
          </w:p>
          <w:p>
            <w:pPr>
              <w:pStyle w:val="0"/>
            </w:pPr>
            <w:r>
              <w:rPr>
                <w:sz w:val="20"/>
              </w:rPr>
              <w:t xml:space="preserve">П</w:t>
            </w:r>
            <w:r>
              <w:rPr>
                <w:sz w:val="20"/>
                <w:vertAlign w:val="subscript"/>
              </w:rPr>
              <w:t xml:space="preserve">о</w:t>
            </w:r>
            <w:r>
              <w:rPr>
                <w:sz w:val="20"/>
              </w:rPr>
              <w:t xml:space="preserve"> - общее количество выданных предписаний, срок исполнения которых приходится на отчетный период, единиц.</w:t>
            </w:r>
          </w:p>
          <w:p>
            <w:pPr>
              <w:pStyle w:val="0"/>
            </w:pPr>
            <w:r>
              <w:rPr>
                <w:sz w:val="20"/>
              </w:rPr>
              <w:t xml:space="preserve">Источник данных для определения значения показателя: данные результатов проверок, проведенных в рамках регионального государственного контроля (надзора) в области долевого строительства многоквартирных домов и (или) иных объектов недвижимости в отчетном периоде, отчета по </w:t>
            </w:r>
            <w:hyperlink w:history="0" r:id="rId57"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quot; {КонсультантПлюс}">
              <w:r>
                <w:rPr>
                  <w:sz w:val="20"/>
                  <w:color w:val="0000ff"/>
                </w:rPr>
                <w:t xml:space="preserve">форме</w:t>
              </w:r>
            </w:hyperlink>
            <w:r>
              <w:rPr>
                <w:sz w:val="20"/>
              </w:rPr>
              <w:t xml:space="preserve"> федерального статистического наблюдения N 1-контроль, утвержденной Приказом Росстата от 21.12.2011 N 503</w:t>
            </w:r>
          </w:p>
        </w:tc>
      </w:tr>
      <w:tr>
        <w:tc>
          <w:tcPr>
            <w:tcW w:w="907" w:type="dxa"/>
          </w:tcPr>
          <w:p>
            <w:pPr>
              <w:pStyle w:val="0"/>
              <w:jc w:val="center"/>
            </w:pPr>
            <w:r>
              <w:rPr>
                <w:sz w:val="20"/>
              </w:rPr>
              <w:t xml:space="preserve">8.</w:t>
            </w:r>
          </w:p>
        </w:tc>
        <w:tc>
          <w:tcPr>
            <w:tcW w:w="3118" w:type="dxa"/>
          </w:tcPr>
          <w:p>
            <w:pPr>
              <w:pStyle w:val="0"/>
            </w:pPr>
            <w:r>
              <w:rPr>
                <w:sz w:val="20"/>
              </w:rPr>
              <w:t xml:space="preserve">Лицензионный контроль предпринимательской деятельности по управлению многоквартирными домами (Департамент государственного жилищного и строительного надзора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Ш</w:t>
            </w:r>
            <w:r>
              <w:rPr>
                <w:sz w:val="20"/>
                <w:vertAlign w:val="subscript"/>
              </w:rPr>
              <w:t xml:space="preserve">лк</w:t>
            </w:r>
            <w:r>
              <w:rPr>
                <w:sz w:val="20"/>
              </w:rPr>
              <w:t xml:space="preserve"> = Ш</w:t>
            </w:r>
            <w:r>
              <w:rPr>
                <w:sz w:val="20"/>
                <w:vertAlign w:val="subscript"/>
              </w:rPr>
              <w:t xml:space="preserve">олк</w:t>
            </w:r>
            <w:r>
              <w:rPr>
                <w:sz w:val="20"/>
              </w:rPr>
              <w:t xml:space="preserve"> / Ш</w:t>
            </w:r>
            <w:r>
              <w:rPr>
                <w:sz w:val="20"/>
                <w:vertAlign w:val="subscript"/>
              </w:rPr>
              <w:t xml:space="preserve">клк</w:t>
            </w:r>
            <w:r>
              <w:rPr>
                <w:sz w:val="20"/>
              </w:rPr>
              <w:t xml:space="preserve">, где:</w:t>
            </w:r>
          </w:p>
          <w:p>
            <w:pPr>
              <w:pStyle w:val="0"/>
            </w:pPr>
            <w:r>
              <w:rPr>
                <w:sz w:val="20"/>
              </w:rPr>
              <w:t xml:space="preserve">Ш</w:t>
            </w:r>
            <w:r>
              <w:rPr>
                <w:sz w:val="20"/>
                <w:vertAlign w:val="subscript"/>
              </w:rPr>
              <w:t xml:space="preserve">лк</w:t>
            </w:r>
            <w:r>
              <w:rPr>
                <w:sz w:val="20"/>
              </w:rPr>
              <w:t xml:space="preserve"> - средний размер административных штрафов, наложенных в рамках лицензионного контроля предпринимательской деятельности по управлению многоквартирными домами (тыс. рублей);</w:t>
            </w:r>
          </w:p>
          <w:p>
            <w:pPr>
              <w:pStyle w:val="0"/>
            </w:pPr>
            <w:r>
              <w:rPr>
                <w:sz w:val="20"/>
              </w:rPr>
              <w:t xml:space="preserve">Ш</w:t>
            </w:r>
            <w:r>
              <w:rPr>
                <w:sz w:val="20"/>
                <w:vertAlign w:val="subscript"/>
              </w:rPr>
              <w:t xml:space="preserve">олк</w:t>
            </w:r>
            <w:r>
              <w:rPr>
                <w:sz w:val="20"/>
              </w:rPr>
              <w:t xml:space="preserve"> - общая сумма наложенных в отчетный период административных штрафов по итогам плановых, внеплановых проверок (тыс. рублей);</w:t>
            </w:r>
          </w:p>
          <w:p>
            <w:pPr>
              <w:pStyle w:val="0"/>
            </w:pPr>
            <w:r>
              <w:rPr>
                <w:sz w:val="20"/>
              </w:rPr>
              <w:t xml:space="preserve">Ш</w:t>
            </w:r>
            <w:r>
              <w:rPr>
                <w:sz w:val="20"/>
                <w:vertAlign w:val="subscript"/>
              </w:rPr>
              <w:t xml:space="preserve">клк</w:t>
            </w:r>
            <w:r>
              <w:rPr>
                <w:sz w:val="20"/>
              </w:rPr>
              <w:t xml:space="preserve"> -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 (единиц).</w:t>
            </w:r>
          </w:p>
          <w:p>
            <w:pPr>
              <w:pStyle w:val="0"/>
            </w:pPr>
            <w:r>
              <w:rPr>
                <w:sz w:val="20"/>
              </w:rPr>
              <w:t xml:space="preserve">Источник данных для определения значения показателя: данные результатов проверок, проведенных в рамках лицензионного контроля предпринимательской деятельности по управлению многоквартирными домами в отчетном периоде, отчета по </w:t>
            </w:r>
            <w:hyperlink w:history="0" r:id="rId58" w:tooltip="Приказ Росстата от 30.03.2012 N 103 (ред. от 23.12.2015, с изм. от 27.06.2022) &quot;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quot; {КонсультантПлюс}">
              <w:r>
                <w:rPr>
                  <w:sz w:val="20"/>
                  <w:color w:val="0000ff"/>
                </w:rPr>
                <w:t xml:space="preserve">форме</w:t>
              </w:r>
            </w:hyperlink>
            <w:r>
              <w:rPr>
                <w:sz w:val="20"/>
              </w:rPr>
              <w:t xml:space="preserve"> федерального статистического наблюдения N 1-лицензирование, утвержденной Приказом Федеральной службы государственной статистики от 30.03.2012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tc>
      </w:tr>
      <w:tr>
        <w:tc>
          <w:tcPr>
            <w:tcW w:w="907" w:type="dxa"/>
          </w:tcPr>
          <w:p>
            <w:pPr>
              <w:pStyle w:val="0"/>
              <w:jc w:val="center"/>
            </w:pPr>
            <w:r>
              <w:rPr>
                <w:sz w:val="20"/>
              </w:rPr>
              <w:t xml:space="preserve">9.</w:t>
            </w:r>
          </w:p>
        </w:tc>
        <w:tc>
          <w:tcPr>
            <w:tcW w:w="3118" w:type="dxa"/>
          </w:tcPr>
          <w:p>
            <w:pPr>
              <w:pStyle w:val="0"/>
            </w:pPr>
            <w:r>
              <w:rPr>
                <w:sz w:val="20"/>
              </w:rPr>
              <w:t xml:space="preserve">Региональный государственный жилищный надзор (Департамент государственного жилищного и строительного надзора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Ш</w:t>
            </w:r>
            <w:r>
              <w:rPr>
                <w:sz w:val="20"/>
                <w:vertAlign w:val="subscript"/>
              </w:rPr>
              <w:t xml:space="preserve">жн</w:t>
            </w:r>
            <w:r>
              <w:rPr>
                <w:sz w:val="20"/>
              </w:rPr>
              <w:t xml:space="preserve"> = Ш</w:t>
            </w:r>
            <w:r>
              <w:rPr>
                <w:sz w:val="20"/>
                <w:vertAlign w:val="subscript"/>
              </w:rPr>
              <w:t xml:space="preserve">ожн</w:t>
            </w:r>
            <w:r>
              <w:rPr>
                <w:sz w:val="20"/>
              </w:rPr>
              <w:t xml:space="preserve"> / Ш</w:t>
            </w:r>
            <w:r>
              <w:rPr>
                <w:sz w:val="20"/>
                <w:vertAlign w:val="subscript"/>
              </w:rPr>
              <w:t xml:space="preserve">кжн</w:t>
            </w:r>
            <w:r>
              <w:rPr>
                <w:sz w:val="20"/>
              </w:rPr>
              <w:t xml:space="preserve">, где:</w:t>
            </w:r>
          </w:p>
          <w:p>
            <w:pPr>
              <w:pStyle w:val="0"/>
            </w:pPr>
            <w:r>
              <w:rPr>
                <w:sz w:val="20"/>
              </w:rPr>
              <w:t xml:space="preserve">Ш</w:t>
            </w:r>
            <w:r>
              <w:rPr>
                <w:sz w:val="20"/>
                <w:vertAlign w:val="subscript"/>
              </w:rPr>
              <w:t xml:space="preserve">жн</w:t>
            </w:r>
            <w:r>
              <w:rPr>
                <w:sz w:val="20"/>
              </w:rPr>
              <w:t xml:space="preserve"> - средний размер административных штрафов, наложенных в рамках регионального государственного жилищного надзора (тыс. рублей);</w:t>
            </w:r>
          </w:p>
          <w:p>
            <w:pPr>
              <w:pStyle w:val="0"/>
            </w:pPr>
            <w:r>
              <w:rPr>
                <w:sz w:val="20"/>
              </w:rPr>
              <w:t xml:space="preserve">Ш</w:t>
            </w:r>
            <w:r>
              <w:rPr>
                <w:sz w:val="20"/>
                <w:vertAlign w:val="subscript"/>
              </w:rPr>
              <w:t xml:space="preserve">ожн</w:t>
            </w:r>
            <w:r>
              <w:rPr>
                <w:sz w:val="20"/>
              </w:rPr>
              <w:t xml:space="preserve"> - общая сумма наложенных в отчетный период административных штрафов по итогам плановых, внеплановых проверок (тыс. рублей);</w:t>
            </w:r>
          </w:p>
          <w:p>
            <w:pPr>
              <w:pStyle w:val="0"/>
            </w:pPr>
            <w:r>
              <w:rPr>
                <w:sz w:val="20"/>
              </w:rPr>
              <w:t xml:space="preserve">Ш</w:t>
            </w:r>
            <w:r>
              <w:rPr>
                <w:sz w:val="20"/>
                <w:vertAlign w:val="subscript"/>
              </w:rPr>
              <w:t xml:space="preserve">кжн</w:t>
            </w:r>
            <w:r>
              <w:rPr>
                <w:sz w:val="20"/>
              </w:rPr>
              <w:t xml:space="preserve"> -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 (единиц).</w:t>
            </w:r>
          </w:p>
          <w:p>
            <w:pPr>
              <w:pStyle w:val="0"/>
            </w:pPr>
            <w:r>
              <w:rPr>
                <w:sz w:val="20"/>
              </w:rPr>
              <w:t xml:space="preserve">Источник данных для определения значения показателя: данные результатов проверок, проведенных в рамках регионального государственного жилищного надзора в отчетном периоде, отчета по </w:t>
            </w:r>
            <w:hyperlink w:history="0" r:id="rId59"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quot; {КонсультантПлюс}">
              <w:r>
                <w:rPr>
                  <w:sz w:val="20"/>
                  <w:color w:val="0000ff"/>
                </w:rPr>
                <w:t xml:space="preserve">форме</w:t>
              </w:r>
            </w:hyperlink>
            <w:r>
              <w:rPr>
                <w:sz w:val="20"/>
              </w:rPr>
              <w:t xml:space="preserve"> федерального статистического наблюдения N 1-контроль, утвержденной Приказом Росстата от 21.12.2011 N 503</w:t>
            </w:r>
          </w:p>
        </w:tc>
      </w:tr>
      <w:tr>
        <w:tc>
          <w:tcPr>
            <w:tcW w:w="907" w:type="dxa"/>
          </w:tcPr>
          <w:p>
            <w:pPr>
              <w:pStyle w:val="0"/>
              <w:jc w:val="center"/>
            </w:pPr>
            <w:r>
              <w:rPr>
                <w:sz w:val="20"/>
              </w:rPr>
              <w:t xml:space="preserve">10.</w:t>
            </w:r>
          </w:p>
        </w:tc>
        <w:tc>
          <w:tcPr>
            <w:tcW w:w="3118" w:type="dxa"/>
          </w:tcPr>
          <w:p>
            <w:pPr>
              <w:pStyle w:val="0"/>
            </w:pPr>
            <w:r>
              <w:rPr>
                <w:sz w:val="20"/>
              </w:rPr>
              <w:t xml:space="preserve">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(Департамент государственного жилищного и строительного надзора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Д</w:t>
            </w:r>
            <w:r>
              <w:rPr>
                <w:sz w:val="20"/>
                <w:vertAlign w:val="subscript"/>
              </w:rPr>
              <w:t xml:space="preserve">п</w:t>
            </w:r>
            <w:r>
              <w:rPr>
                <w:sz w:val="20"/>
              </w:rPr>
              <w:t xml:space="preserve"> = П</w:t>
            </w:r>
            <w:r>
              <w:rPr>
                <w:sz w:val="20"/>
                <w:vertAlign w:val="subscript"/>
              </w:rPr>
              <w:t xml:space="preserve">и</w:t>
            </w:r>
            <w:r>
              <w:rPr>
                <w:sz w:val="20"/>
              </w:rPr>
              <w:t xml:space="preserve"> / П</w:t>
            </w:r>
            <w:r>
              <w:rPr>
                <w:sz w:val="20"/>
                <w:vertAlign w:val="subscript"/>
              </w:rPr>
              <w:t xml:space="preserve">о</w:t>
            </w:r>
            <w:r>
              <w:rPr>
                <w:sz w:val="20"/>
              </w:rPr>
              <w:t xml:space="preserve"> x 100%, где:</w:t>
            </w:r>
          </w:p>
          <w:p>
            <w:pPr>
              <w:pStyle w:val="0"/>
            </w:pPr>
            <w:r>
              <w:rPr>
                <w:sz w:val="20"/>
              </w:rPr>
              <w:t xml:space="preserve">Д</w:t>
            </w:r>
            <w:r>
              <w:rPr>
                <w:sz w:val="20"/>
                <w:vertAlign w:val="subscript"/>
              </w:rPr>
              <w:t xml:space="preserve">п</w:t>
            </w:r>
            <w:r>
              <w:rPr>
                <w:sz w:val="20"/>
              </w:rPr>
              <w:t xml:space="preserve"> - доля исполненных предписаний, выданных по результатам проверок, проведенных в рамках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процентов;</w:t>
            </w:r>
          </w:p>
          <w:p>
            <w:pPr>
              <w:pStyle w:val="0"/>
            </w:pPr>
            <w:r>
              <w:rPr>
                <w:sz w:val="20"/>
              </w:rPr>
              <w:t xml:space="preserve">П</w:t>
            </w:r>
            <w:r>
              <w:rPr>
                <w:sz w:val="20"/>
                <w:vertAlign w:val="subscript"/>
              </w:rPr>
              <w:t xml:space="preserve">и</w:t>
            </w:r>
            <w:r>
              <w:rPr>
                <w:sz w:val="20"/>
              </w:rPr>
              <w:t xml:space="preserve"> - количество предписаний, исполненных в отчетном периоде, единиц;</w:t>
            </w:r>
          </w:p>
          <w:p>
            <w:pPr>
              <w:pStyle w:val="0"/>
            </w:pPr>
            <w:r>
              <w:rPr>
                <w:sz w:val="20"/>
              </w:rPr>
              <w:t xml:space="preserve">П</w:t>
            </w:r>
            <w:r>
              <w:rPr>
                <w:sz w:val="20"/>
                <w:vertAlign w:val="subscript"/>
              </w:rPr>
              <w:t xml:space="preserve">о</w:t>
            </w:r>
            <w:r>
              <w:rPr>
                <w:sz w:val="20"/>
              </w:rPr>
              <w:t xml:space="preserve"> - общее количество выданных предписаний, срок исполнения которых приходится на отчетный период, единиц.</w:t>
            </w:r>
          </w:p>
          <w:p>
            <w:pPr>
              <w:pStyle w:val="0"/>
            </w:pPr>
            <w:r>
              <w:rPr>
                <w:sz w:val="20"/>
              </w:rPr>
              <w:t xml:space="preserve">Источник данных для определения значения показателя: данные результатов проверок, проведенных в рамках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отчетном периоде, отчета по </w:t>
            </w:r>
            <w:hyperlink w:history="0" r:id="rId60"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quot; {КонсультантПлюс}">
              <w:r>
                <w:rPr>
                  <w:sz w:val="20"/>
                  <w:color w:val="0000ff"/>
                </w:rPr>
                <w:t xml:space="preserve">форме</w:t>
              </w:r>
            </w:hyperlink>
            <w:r>
              <w:rPr>
                <w:sz w:val="20"/>
              </w:rPr>
              <w:t xml:space="preserve"> федерального статистического наблюдения N 1-контроль, утвержденной Приказом Росстата от 21.12.2011 N 503</w:t>
            </w:r>
          </w:p>
        </w:tc>
      </w:tr>
      <w:tr>
        <w:tc>
          <w:tcPr>
            <w:tcW w:w="907" w:type="dxa"/>
          </w:tcPr>
          <w:p>
            <w:pPr>
              <w:pStyle w:val="0"/>
              <w:jc w:val="center"/>
            </w:pPr>
            <w:r>
              <w:rPr>
                <w:sz w:val="20"/>
              </w:rPr>
              <w:t xml:space="preserve">11.</w:t>
            </w:r>
          </w:p>
        </w:tc>
        <w:tc>
          <w:tcPr>
            <w:tcW w:w="3118" w:type="dxa"/>
          </w:tcPr>
          <w:p>
            <w:pPr>
              <w:pStyle w:val="0"/>
            </w:pPr>
            <w:r>
              <w:rPr>
                <w:sz w:val="20"/>
              </w:rPr>
              <w:t xml:space="preserve">Региональный государственный контроль (надзор) в сфере перевозок пассажиров и багажа легковым такси (Министерство транспорта и дорожного хозяйства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причиненным ущербом в предшествующем периоде от утраты среднестатистической жизни в результате нарушения перевозчиками требований </w:t>
            </w:r>
            <w:hyperlink w:history="0" r:id="rId6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 "О внесении изменений в отдельные законодательные акты Российской Федерации" (далее - Федеральный закон от 21 апреля 2011 года N 69-ФЗ) (Т-1) и причиненным ущербом в текущем периоде (Т)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по региональному государственному контролю (надзору) в сфере перевозок пассажиров и багажа легковым такси в предшествующем периоде (Т-1) и расходами на исполнение полномочий в текущем периоде (Т) (млн. рублей);</w:t>
            </w:r>
          </w:p>
          <w:p>
            <w:pPr>
              <w:pStyle w:val="0"/>
            </w:pPr>
            <w:r>
              <w:rPr>
                <w:sz w:val="20"/>
              </w:rPr>
              <w:t xml:space="preserve">У</w:t>
            </w:r>
            <w:r>
              <w:rPr>
                <w:sz w:val="20"/>
                <w:vertAlign w:val="subscript"/>
              </w:rPr>
              <w:t xml:space="preserve">Т-1</w:t>
            </w:r>
            <w:r>
              <w:rPr>
                <w:sz w:val="20"/>
              </w:rPr>
              <w:t xml:space="preserve"> - причиненный ущерб от утраты среднестатистической жизни в результате нарушения перевозчиками требований </w:t>
            </w:r>
            <w:hyperlink w:history="0" r:id="rId6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6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 в предшествующем периоде (Т-1) (млн. рублей);</w:t>
            </w:r>
          </w:p>
          <w:p>
            <w:pPr>
              <w:pStyle w:val="0"/>
            </w:pPr>
            <w:r>
              <w:rPr>
                <w:sz w:val="20"/>
              </w:rPr>
              <w:t xml:space="preserve">Р</w:t>
            </w:r>
            <w:r>
              <w:rPr>
                <w:sz w:val="20"/>
                <w:vertAlign w:val="subscript"/>
              </w:rPr>
              <w:t xml:space="preserve">Т-1</w:t>
            </w:r>
            <w:r>
              <w:rPr>
                <w:sz w:val="20"/>
              </w:rPr>
              <w:t xml:space="preserve"> - расходы на исполнение полномочий по региональному государственному контролю в сфере перевозок пассажиров и багажа легковым такси в предшествующем периоде (Т-1) (млн. рублей).</w:t>
            </w:r>
          </w:p>
          <w:p>
            <w:pPr>
              <w:pStyle w:val="0"/>
            </w:pPr>
            <w:r>
              <w:rPr>
                <w:sz w:val="20"/>
              </w:rPr>
              <w:t xml:space="preserve">Показатель рассчитывается при условии представления информации:</w:t>
            </w:r>
          </w:p>
          <w:p>
            <w:pPr>
              <w:pStyle w:val="0"/>
            </w:pPr>
            <w:r>
              <w:rPr>
                <w:sz w:val="20"/>
              </w:rPr>
              <w:t xml:space="preserve">Управлением Государственной инспекции безопасности дорожного движения Министерства внутренних дел Российской Федерации по Свердловской области - о количестве погибших и травмированных в результате дорожно-транспортных происшествий по причине нарушения перевозчиком требований </w:t>
            </w:r>
            <w:hyperlink w:history="0" r:id="rId6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пунктов 2</w:t>
              </w:r>
            </w:hyperlink>
            <w:r>
              <w:rPr>
                <w:sz w:val="20"/>
              </w:rPr>
              <w:t xml:space="preserve"> и </w:t>
            </w:r>
            <w:hyperlink w:history="0" r:id="rId6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3 части 16 статьи 9</w:t>
              </w:r>
            </w:hyperlink>
            <w:r>
              <w:rPr>
                <w:sz w:val="20"/>
              </w:rPr>
              <w:t xml:space="preserve"> Федерального закона от 21 апреля 2011 года N 69-ФЗ;</w:t>
            </w:r>
          </w:p>
          <w:p>
            <w:pPr>
              <w:pStyle w:val="0"/>
            </w:pPr>
            <w:r>
              <w:rPr>
                <w:sz w:val="20"/>
              </w:rPr>
              <w:t xml:space="preserve">Управлением Федеральной службы государственной статистики по Свердловской области и Курганской области - о размере ущерба от утраты одной среднестатистической жизни в результате дорожно-транспортного происшествия и размере ущерба от травматизма одного человека в результате дорожно-транспортного происшествия</w:t>
            </w:r>
          </w:p>
        </w:tc>
      </w:tr>
      <w:tr>
        <w:tc>
          <w:tcPr>
            <w:tcW w:w="907" w:type="dxa"/>
          </w:tcPr>
          <w:p>
            <w:pPr>
              <w:pStyle w:val="0"/>
              <w:jc w:val="center"/>
            </w:pPr>
            <w:r>
              <w:rPr>
                <w:sz w:val="20"/>
              </w:rPr>
              <w:t xml:space="preserve">12.</w:t>
            </w:r>
          </w:p>
        </w:tc>
        <w:tc>
          <w:tcPr>
            <w:tcW w:w="3118" w:type="dxa"/>
          </w:tcPr>
          <w:p>
            <w:pPr>
              <w:pStyle w:val="0"/>
            </w:pPr>
            <w:r>
              <w:rPr>
                <w:sz w:val="20"/>
              </w:rPr>
              <w:t xml:space="preserve">Региональный государственный контроль (надзор) на автомобильном транспорте, городском, наземном, электрическом транспорте и в дорожном хозяйстве (Министерство транспорта и дорожного хозяйства Свердловской области)</w:t>
            </w:r>
          </w:p>
        </w:tc>
        <w:tc>
          <w:tcPr>
            <w:tcW w:w="9581" w:type="dxa"/>
          </w:tcPr>
          <w:p>
            <w:pPr>
              <w:pStyle w:val="0"/>
            </w:pPr>
            <w:r>
              <w:rPr>
                <w:sz w:val="20"/>
              </w:rPr>
              <w:t xml:space="preserve">показатель рассчитывается по общей формуле на основании данных, представленных государственным казенным учреждением Свердловской области "Управление автомобильных дорог"</w:t>
            </w:r>
          </w:p>
        </w:tc>
      </w:tr>
      <w:tr>
        <w:tc>
          <w:tcPr>
            <w:tcW w:w="907" w:type="dxa"/>
          </w:tcPr>
          <w:p>
            <w:pPr>
              <w:pStyle w:val="0"/>
              <w:jc w:val="center"/>
            </w:pPr>
            <w:r>
              <w:rPr>
                <w:sz w:val="20"/>
              </w:rPr>
              <w:t xml:space="preserve">13.</w:t>
            </w:r>
          </w:p>
        </w:tc>
        <w:tc>
          <w:tcPr>
            <w:tcW w:w="3118" w:type="dxa"/>
          </w:tcPr>
          <w:p>
            <w:pPr>
              <w:pStyle w:val="0"/>
            </w:pPr>
            <w:r>
              <w:rPr>
                <w:sz w:val="20"/>
              </w:rPr>
              <w:t xml:space="preserve">Региональный государственный контроль (надзор) в сфере социального обслуживания граждан (Министерство социальной политики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К</w:t>
            </w:r>
            <w:r>
              <w:rPr>
                <w:sz w:val="20"/>
                <w:vertAlign w:val="subscript"/>
              </w:rPr>
              <w:t xml:space="preserve">исп</w:t>
            </w:r>
            <w:r>
              <w:rPr>
                <w:sz w:val="20"/>
              </w:rPr>
              <w:t xml:space="preserve"> = П</w:t>
            </w:r>
            <w:r>
              <w:rPr>
                <w:sz w:val="20"/>
                <w:vertAlign w:val="subscript"/>
              </w:rPr>
              <w:t xml:space="preserve">не</w:t>
            </w:r>
            <w:r>
              <w:rPr>
                <w:sz w:val="20"/>
              </w:rPr>
              <w:t xml:space="preserve"> / П</w:t>
            </w:r>
            <w:r>
              <w:rPr>
                <w:sz w:val="20"/>
                <w:vertAlign w:val="subscript"/>
              </w:rPr>
              <w:t xml:space="preserve">общ</w:t>
            </w:r>
            <w:r>
              <w:rPr>
                <w:sz w:val="20"/>
              </w:rPr>
              <w:t xml:space="preserve"> x 100%, где:</w:t>
            </w:r>
          </w:p>
          <w:p>
            <w:pPr>
              <w:pStyle w:val="0"/>
            </w:pPr>
            <w:r>
              <w:rPr>
                <w:sz w:val="20"/>
              </w:rPr>
              <w:t xml:space="preserve">К</w:t>
            </w:r>
            <w:r>
              <w:rPr>
                <w:sz w:val="20"/>
                <w:vertAlign w:val="subscript"/>
              </w:rPr>
              <w:t xml:space="preserve">исп</w:t>
            </w:r>
            <w:r>
              <w:rPr>
                <w:sz w:val="20"/>
              </w:rPr>
              <w:t xml:space="preserve"> - коэффициент, характеризующий эффективность осуществления проверок в рамках осуществления регионального государственного контроля (надзора) в сфере социального обслуживания граждан;</w:t>
            </w:r>
          </w:p>
          <w:p>
            <w:pPr>
              <w:pStyle w:val="0"/>
            </w:pPr>
            <w:r>
              <w:rPr>
                <w:sz w:val="20"/>
              </w:rPr>
              <w:t xml:space="preserve">П</w:t>
            </w:r>
            <w:r>
              <w:rPr>
                <w:sz w:val="20"/>
                <w:vertAlign w:val="subscript"/>
              </w:rPr>
              <w:t xml:space="preserve">не</w:t>
            </w:r>
            <w:r>
              <w:rPr>
                <w:sz w:val="20"/>
              </w:rPr>
              <w:t xml:space="preserve"> - количество неисполненных предписаний, выданных поставщикам социальных услуг в рамках осуществления регионального государственного контроля (надзора) в сфере социального обслуживания граждан в отчетном году;</w:t>
            </w:r>
          </w:p>
          <w:p>
            <w:pPr>
              <w:pStyle w:val="0"/>
            </w:pPr>
            <w:r>
              <w:rPr>
                <w:sz w:val="20"/>
              </w:rPr>
              <w:t xml:space="preserve">П</w:t>
            </w:r>
            <w:r>
              <w:rPr>
                <w:sz w:val="20"/>
                <w:vertAlign w:val="subscript"/>
              </w:rPr>
              <w:t xml:space="preserve">общ</w:t>
            </w:r>
            <w:r>
              <w:rPr>
                <w:sz w:val="20"/>
              </w:rPr>
              <w:t xml:space="preserve"> - общее количество предписаний, выданных поставщикам социальных услуг в рамках осуществления регионального государственного контроля (надзора) в сфере социального обслуживания граждан в отчетном году</w:t>
            </w:r>
          </w:p>
        </w:tc>
      </w:tr>
      <w:tr>
        <w:tc>
          <w:tcPr>
            <w:tcW w:w="907" w:type="dxa"/>
          </w:tcPr>
          <w:p>
            <w:pPr>
              <w:pStyle w:val="0"/>
              <w:jc w:val="center"/>
            </w:pPr>
            <w:r>
              <w:rPr>
                <w:sz w:val="20"/>
              </w:rPr>
              <w:t xml:space="preserve">14.</w:t>
            </w:r>
          </w:p>
        </w:tc>
        <w:tc>
          <w:tcPr>
            <w:tcW w:w="3118" w:type="dxa"/>
          </w:tcPr>
          <w:p>
            <w:pPr>
              <w:pStyle w:val="0"/>
            </w:pPr>
            <w:r>
              <w:rPr>
                <w:sz w:val="20"/>
              </w:rPr>
              <w:t xml:space="preserve">Региональный государственный надзор в области защиты населения и территорий от чрезвычайных ситуаций (Министерство общественной безопасности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причиненным ущербом в результате чрезвычайной ситуации техногенного характера на субъектах надзора в предшествующем периоде (Т-1) и причиненным ущербом в текущем периоде (Т)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(Т-1) и расходами на исполнение полномочий в текущем периоде (Т) (млн. рублей);</w:t>
            </w:r>
          </w:p>
          <w:p>
            <w:pPr>
              <w:pStyle w:val="0"/>
            </w:pPr>
            <w:r>
              <w:rPr>
                <w:sz w:val="20"/>
              </w:rPr>
              <w:t xml:space="preserve">У</w:t>
            </w:r>
            <w:r>
              <w:rPr>
                <w:sz w:val="20"/>
                <w:vertAlign w:val="subscript"/>
              </w:rPr>
              <w:t xml:space="preserve">Т-1</w:t>
            </w:r>
            <w:r>
              <w:rPr>
                <w:sz w:val="20"/>
              </w:rPr>
              <w:t xml:space="preserve"> - причиненный ущерб в результате чрезвычайных ситуаций техногенного характера на субъектах надзора в предшествующем периоде (Т-1) (млн. рублей);</w:t>
            </w:r>
          </w:p>
          <w:p>
            <w:pPr>
              <w:pStyle w:val="0"/>
            </w:pPr>
            <w:r>
              <w:rPr>
                <w:sz w:val="20"/>
              </w:rPr>
              <w:t xml:space="preserve">Р</w:t>
            </w:r>
            <w:r>
              <w:rPr>
                <w:sz w:val="20"/>
                <w:vertAlign w:val="subscript"/>
              </w:rPr>
              <w:t xml:space="preserve">Т-1</w:t>
            </w:r>
            <w:r>
              <w:rPr>
                <w:sz w:val="20"/>
              </w:rPr>
              <w:t xml:space="preserve"> - расходы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(Т-1) (млн. рублей)</w:t>
            </w:r>
          </w:p>
        </w:tc>
      </w:tr>
      <w:tr>
        <w:tc>
          <w:tcPr>
            <w:tcW w:w="907" w:type="dxa"/>
          </w:tcPr>
          <w:p>
            <w:pPr>
              <w:pStyle w:val="0"/>
              <w:jc w:val="center"/>
            </w:pPr>
            <w:r>
              <w:rPr>
                <w:sz w:val="20"/>
              </w:rPr>
              <w:t xml:space="preserve">15.</w:t>
            </w:r>
          </w:p>
        </w:tc>
        <w:tc>
          <w:tcPr>
            <w:tcW w:w="3118" w:type="dxa"/>
          </w:tcPr>
          <w:p>
            <w:pPr>
              <w:pStyle w:val="0"/>
            </w:pPr>
            <w:r>
              <w:rPr>
                <w:sz w:val="20"/>
              </w:rPr>
              <w:t xml:space="preserve">Региональный государственный контроль (надзор) за состоянием Музейного фонда Российской Федерации (Министерство культуры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Е = (Ут + Рт + От) / (Ут-1 + Рт-1 + От-1) x 100%, где:</w:t>
            </w:r>
          </w:p>
          <w:p>
            <w:pPr>
              <w:pStyle w:val="0"/>
            </w:pPr>
            <w:r>
              <w:rPr>
                <w:sz w:val="20"/>
              </w:rPr>
              <w:t xml:space="preserve">Е - эффективность деятельности по осуществлению государственного контроля за состоянием государственной части Музейного фонда Российской Федерации на территории Свердловской области;</w:t>
            </w:r>
          </w:p>
          <w:p>
            <w:pPr>
              <w:pStyle w:val="0"/>
            </w:pPr>
            <w:r>
              <w:rPr>
                <w:sz w:val="20"/>
              </w:rPr>
              <w:t xml:space="preserve">Ут - разница между ущербом, причиненным музейным предметам, включенным в государственную часть Музейного фонда Российской Федерации, в предшествующем периоде (Т-1) и текущем периоде (Т) (единиц);</w:t>
            </w:r>
          </w:p>
          <w:p>
            <w:pPr>
              <w:pStyle w:val="0"/>
            </w:pPr>
            <w:r>
              <w:rPr>
                <w:sz w:val="20"/>
              </w:rPr>
              <w:t xml:space="preserve">Ут-1 - ущерб, причиненный музейным предметам, включенным в государственную часть Музейного фонда Российской Федерации, в предшествующем периоде (Т-1) (единиц);</w:t>
            </w:r>
          </w:p>
          <w:p>
            <w:pPr>
              <w:pStyle w:val="0"/>
            </w:pPr>
            <w:r>
              <w:rPr>
                <w:sz w:val="20"/>
              </w:rPr>
              <w:t xml:space="preserve">Рт - разница между расходами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(Т-1) и текущем периоде (Т) (млн. рублей);</w:t>
            </w:r>
          </w:p>
          <w:p>
            <w:pPr>
              <w:pStyle w:val="0"/>
            </w:pPr>
            <w:r>
              <w:rPr>
                <w:sz w:val="20"/>
              </w:rPr>
              <w:t xml:space="preserve">Рт-1 - расходы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(Т-1) (млн. рублей);</w:t>
            </w:r>
          </w:p>
          <w:p>
            <w:pPr>
              <w:pStyle w:val="0"/>
            </w:pPr>
            <w:r>
              <w:rPr>
                <w:sz w:val="20"/>
              </w:rPr>
              <w:t xml:space="preserve">От - разница между количеством выявленных нарушений обязательных требований законодательства Российской Федерации в сфере музейного дела на территории Свердловской области в предшествующем периоде (Т-1) и текущем периоде (Т) (единиц);</w:t>
            </w:r>
          </w:p>
          <w:p>
            <w:pPr>
              <w:pStyle w:val="0"/>
            </w:pPr>
            <w:r>
              <w:rPr>
                <w:sz w:val="20"/>
              </w:rPr>
              <w:t xml:space="preserve">От-1 - количество выявленных нарушений обязательных требований законодательства Российской Федерации в сфере музейного дела на территории Свердловской области в предшествующем периоде (Т-1) (единиц)</w:t>
            </w:r>
          </w:p>
        </w:tc>
      </w:tr>
      <w:tr>
        <w:tc>
          <w:tcPr>
            <w:tcW w:w="907" w:type="dxa"/>
          </w:tcPr>
          <w:p>
            <w:pPr>
              <w:pStyle w:val="0"/>
              <w:jc w:val="center"/>
            </w:pPr>
            <w:r>
              <w:rPr>
                <w:sz w:val="20"/>
              </w:rPr>
              <w:t xml:space="preserve">16.</w:t>
            </w:r>
          </w:p>
        </w:tc>
        <w:tc>
          <w:tcPr>
            <w:tcW w:w="3118" w:type="dxa"/>
          </w:tcPr>
          <w:p>
            <w:pPr>
              <w:pStyle w:val="0"/>
            </w:pPr>
            <w:r>
              <w:rPr>
                <w:sz w:val="20"/>
              </w:rPr>
              <w:t xml:space="preserve">Региональный государственный контроль (надзор) за приемом на работу инвалидов в пределах установленной квоты (Департамент по труду и занятости населения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совокупным размером пособия по безработице, выплаченного инвалидам, признанным в установленном порядке безработными, в предшествующем периоде (Т-1) и совокупным размером пособия по безработице, выплаченного инвалидам, признанным в установленном порядке безработными, в текущем периоде (Т)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на осуществление контрольно-надзорной деятельности в предшествующем периоде (Т-1) и расходами на исполнение полномочий на осуществление контрольно-надзорной деятельности в текущем периоде (Т) (млн. рублей);</w:t>
            </w:r>
          </w:p>
          <w:p>
            <w:pPr>
              <w:pStyle w:val="0"/>
            </w:pPr>
            <w:r>
              <w:rPr>
                <w:sz w:val="20"/>
              </w:rPr>
              <w:t xml:space="preserve">У</w:t>
            </w:r>
            <w:r>
              <w:rPr>
                <w:sz w:val="20"/>
                <w:vertAlign w:val="subscript"/>
              </w:rPr>
              <w:t xml:space="preserve">Т-1</w:t>
            </w:r>
            <w:r>
              <w:rPr>
                <w:sz w:val="20"/>
              </w:rPr>
              <w:t xml:space="preserve"> - совокупный размер пособия по безработице, выплаченного инвалидам, признанным в установленном порядке безработными, в предшествующем периоде (Т-1) (млн. рублей);</w:t>
            </w:r>
          </w:p>
          <w:p>
            <w:pPr>
              <w:pStyle w:val="0"/>
            </w:pPr>
            <w:r>
              <w:rPr>
                <w:sz w:val="20"/>
              </w:rPr>
              <w:t xml:space="preserve">Р</w:t>
            </w:r>
            <w:r>
              <w:rPr>
                <w:sz w:val="20"/>
                <w:vertAlign w:val="subscript"/>
              </w:rPr>
              <w:t xml:space="preserve">Т-1</w:t>
            </w:r>
            <w:r>
              <w:rPr>
                <w:sz w:val="20"/>
              </w:rPr>
              <w:t xml:space="preserve"> - расходы на исполнение полномочий на осуществление контрольно-надзорной деятельности в предшествующем периоде (Т-1) (млн. рублей)</w:t>
            </w:r>
          </w:p>
        </w:tc>
      </w:tr>
      <w:tr>
        <w:tc>
          <w:tcPr>
            <w:tcW w:w="907" w:type="dxa"/>
          </w:tcPr>
          <w:p>
            <w:pPr>
              <w:pStyle w:val="0"/>
              <w:jc w:val="center"/>
            </w:pPr>
            <w:r>
              <w:rPr>
                <w:sz w:val="20"/>
              </w:rPr>
              <w:t xml:space="preserve">17.</w:t>
            </w:r>
          </w:p>
        </w:tc>
        <w:tc>
          <w:tcPr>
            <w:tcW w:w="3118" w:type="dxa"/>
          </w:tcPr>
          <w:p>
            <w:pPr>
              <w:pStyle w:val="0"/>
            </w:pPr>
            <w:r>
              <w:rPr>
                <w:sz w:val="20"/>
              </w:rPr>
              <w:t xml:space="preserve">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(Управление государственной охраны объектов культурного наследия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количеством объектов, признанных находящимися в неудовлетворительном состоянии, в предшествующем периоде (Т-1) и количеством таких объектов в текущем периоде (Т) (штук);</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исполнение полномочий по государственному надзору в предшествующем периоде (Т-1) и расходами на исполнение полномочий в текущем периоде (Т) (млн. рублей);</w:t>
            </w:r>
          </w:p>
          <w:p>
            <w:pPr>
              <w:pStyle w:val="0"/>
            </w:pPr>
            <w:r>
              <w:rPr>
                <w:sz w:val="20"/>
              </w:rPr>
              <w:t xml:space="preserve">У</w:t>
            </w:r>
            <w:r>
              <w:rPr>
                <w:sz w:val="20"/>
                <w:vertAlign w:val="subscript"/>
              </w:rPr>
              <w:t xml:space="preserve">Т-1</w:t>
            </w:r>
            <w:r>
              <w:rPr>
                <w:sz w:val="20"/>
              </w:rPr>
              <w:t xml:space="preserve"> - количество объектов, признанных находящимися в неудовлетворительном состоянии, в предшествующем периоде (Т-1) (штук);</w:t>
            </w:r>
          </w:p>
          <w:p>
            <w:pPr>
              <w:pStyle w:val="0"/>
            </w:pPr>
            <w:r>
              <w:rPr>
                <w:sz w:val="20"/>
              </w:rPr>
              <w:t xml:space="preserve">Р</w:t>
            </w:r>
            <w:r>
              <w:rPr>
                <w:sz w:val="20"/>
                <w:vertAlign w:val="subscript"/>
              </w:rPr>
              <w:t xml:space="preserve">Т-1</w:t>
            </w:r>
            <w:r>
              <w:rPr>
                <w:sz w:val="20"/>
              </w:rPr>
              <w:t xml:space="preserve"> - расходы на исполнение полномочий по государственному надзору в предшествующем периоде (Т-1) (млн. рублей)</w:t>
            </w:r>
          </w:p>
        </w:tc>
      </w:tr>
      <w:tr>
        <w:tc>
          <w:tcPr>
            <w:tcW w:w="907" w:type="dxa"/>
          </w:tcPr>
          <w:p>
            <w:pPr>
              <w:pStyle w:val="0"/>
              <w:jc w:val="center"/>
            </w:pPr>
            <w:r>
              <w:rPr>
                <w:sz w:val="20"/>
              </w:rPr>
              <w:t xml:space="preserve">18.</w:t>
            </w:r>
          </w:p>
        </w:tc>
        <w:tc>
          <w:tcPr>
            <w:tcW w:w="3118" w:type="dxa"/>
          </w:tcPr>
          <w:p>
            <w:pPr>
              <w:pStyle w:val="0"/>
            </w:pPr>
            <w:r>
              <w:rPr>
                <w:sz w:val="20"/>
              </w:rPr>
              <w:t xml:space="preserve">Региональный государственный контроль (надзор) за соблюдением законодательства об архивном деле (Управление архивами Свердловской области)</w:t>
            </w:r>
          </w:p>
        </w:tc>
        <w:tc>
          <w:tcPr>
            <w:tcW w:w="9581" w:type="dxa"/>
          </w:tcPr>
          <w:p>
            <w:pPr>
              <w:pStyle w:val="0"/>
            </w:pPr>
            <w:r>
              <w:rPr>
                <w:sz w:val="20"/>
              </w:rPr>
              <w:t xml:space="preserve">показатель рассчитывается по общей формуле, где:</w:t>
            </w:r>
          </w:p>
          <w:p>
            <w:pPr>
              <w:pStyle w:val="0"/>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 разница между ущербом архивным документам в предшествующем периоде (Т-1) исходя из расчета норматива расходов на хранение, комплектование, учет и использование одной единицы хранения архивных документов, установленного Методикой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соответствии с </w:t>
            </w:r>
            <w:hyperlink w:history="0" r:id="rId67" w:tooltip="Закон Свердловской области от 19.11.2008 N 104-ОЗ (ред. от 09.06.2022) &quo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quot; (принят Областной Думой Законодательного Собрания Свердловской области 11.11.2008) (вместе с &quot;Методикой расчета норматива для опре {КонсультантПлюс}">
              <w:r>
                <w:rPr>
                  <w:sz w:val="20"/>
                  <w:color w:val="0000ff"/>
                </w:rPr>
                <w:t xml:space="preserve">Законом</w:t>
              </w:r>
            </w:hyperlink>
            <w:r>
              <w:rPr>
                <w:sz w:val="20"/>
              </w:rPr>
              <w:t xml:space="preserve"> Свердловской области от 19 ноября 2008 года N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(далее - Методика), и ущербом архивным документам в текущем периоде (Т) в соответствии с Методикой (млн. рублей);</w:t>
            </w:r>
          </w:p>
          <w:p>
            <w:pPr>
              <w:pStyle w:val="0"/>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разница между расходами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(Т-1) и расходами на осуществление контроля в текущем периоде (Т) (млн. рублей);</w:t>
            </w:r>
          </w:p>
          <w:p>
            <w:pPr>
              <w:pStyle w:val="0"/>
            </w:pPr>
            <w:r>
              <w:rPr>
                <w:sz w:val="20"/>
              </w:rPr>
              <w:t xml:space="preserve">У</w:t>
            </w:r>
            <w:r>
              <w:rPr>
                <w:sz w:val="20"/>
                <w:vertAlign w:val="subscript"/>
              </w:rPr>
              <w:t xml:space="preserve">Т-1</w:t>
            </w:r>
            <w:r>
              <w:rPr>
                <w:sz w:val="20"/>
              </w:rPr>
              <w:t xml:space="preserve"> - ущерб документам в предшествующем периоде в соответствии с Методикой (Т-1) (млн. рублей);</w:t>
            </w:r>
          </w:p>
          <w:p>
            <w:pPr>
              <w:pStyle w:val="0"/>
            </w:pPr>
            <w:r>
              <w:rPr>
                <w:sz w:val="20"/>
              </w:rPr>
              <w:t xml:space="preserve">Р</w:t>
            </w:r>
            <w:r>
              <w:rPr>
                <w:sz w:val="20"/>
                <w:vertAlign w:val="subscript"/>
              </w:rPr>
              <w:t xml:space="preserve">Т-1</w:t>
            </w:r>
            <w:r>
              <w:rPr>
                <w:sz w:val="20"/>
              </w:rPr>
              <w:t xml:space="preserve"> - расходы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(Т-1) (млн. рублей)</w:t>
            </w:r>
          </w:p>
        </w:tc>
      </w:tr>
      <w:tr>
        <w:tc>
          <w:tcPr>
            <w:tcW w:w="907" w:type="dxa"/>
          </w:tcPr>
          <w:p>
            <w:pPr>
              <w:pStyle w:val="0"/>
              <w:jc w:val="center"/>
            </w:pPr>
            <w:r>
              <w:rPr>
                <w:sz w:val="20"/>
              </w:rPr>
              <w:t xml:space="preserve">19.</w:t>
            </w:r>
          </w:p>
        </w:tc>
        <w:tc>
          <w:tcPr>
            <w:tcW w:w="3118" w:type="dxa"/>
          </w:tcPr>
          <w:p>
            <w:pPr>
              <w:pStyle w:val="0"/>
            </w:pPr>
            <w:r>
              <w:rPr>
                <w:sz w:val="20"/>
              </w:rPr>
              <w:t xml:space="preserve">Региональный государственный контроль (надзор) в области регулируемых государством цен (тарифов) (Региональная энергетическая комиссия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Э</w:t>
            </w:r>
            <w:r>
              <w:rPr>
                <w:sz w:val="20"/>
                <w:vertAlign w:val="subscript"/>
              </w:rPr>
              <w:t xml:space="preserve">т</w:t>
            </w:r>
            <w:r>
              <w:rPr>
                <w:sz w:val="20"/>
              </w:rPr>
              <w:t xml:space="preserve"> = (О</w:t>
            </w:r>
            <w:r>
              <w:rPr>
                <w:sz w:val="20"/>
                <w:vertAlign w:val="subscript"/>
              </w:rPr>
              <w:t xml:space="preserve">мп</w:t>
            </w:r>
            <w:r>
              <w:rPr>
                <w:sz w:val="20"/>
              </w:rPr>
              <w:t xml:space="preserve"> - О</w:t>
            </w:r>
            <w:r>
              <w:rPr>
                <w:sz w:val="20"/>
                <w:vertAlign w:val="subscript"/>
              </w:rPr>
              <w:t xml:space="preserve">мн</w:t>
            </w:r>
            <w:r>
              <w:rPr>
                <w:sz w:val="20"/>
              </w:rPr>
              <w:t xml:space="preserve">) / О</w:t>
            </w:r>
            <w:r>
              <w:rPr>
                <w:sz w:val="20"/>
                <w:vertAlign w:val="subscript"/>
              </w:rPr>
              <w:t xml:space="preserve">мп</w:t>
            </w:r>
            <w:r>
              <w:rPr>
                <w:sz w:val="20"/>
              </w:rPr>
              <w:t xml:space="preserve"> x 100%, где:</w:t>
            </w:r>
          </w:p>
          <w:p>
            <w:pPr>
              <w:pStyle w:val="0"/>
            </w:pPr>
            <w:r>
              <w:rPr>
                <w:sz w:val="20"/>
              </w:rPr>
              <w:t xml:space="preserve">Э</w:t>
            </w:r>
            <w:r>
              <w:rPr>
                <w:sz w:val="20"/>
                <w:vertAlign w:val="subscript"/>
              </w:rPr>
              <w:t xml:space="preserve">т</w:t>
            </w:r>
            <w:r>
              <w:rPr>
                <w:sz w:val="20"/>
              </w:rPr>
              <w:t xml:space="preserve"> - показатель эффективности контрольно-надзорной деятельности в текущем году;</w:t>
            </w:r>
          </w:p>
          <w:p>
            <w:pPr>
              <w:pStyle w:val="0"/>
            </w:pPr>
            <w:r>
              <w:rPr>
                <w:sz w:val="20"/>
              </w:rPr>
              <w:t xml:space="preserve">О</w:t>
            </w:r>
            <w:r>
              <w:rPr>
                <w:sz w:val="20"/>
                <w:vertAlign w:val="subscript"/>
              </w:rPr>
              <w:t xml:space="preserve">мп</w:t>
            </w:r>
            <w:r>
              <w:rPr>
                <w:sz w:val="20"/>
              </w:rPr>
              <w:t xml:space="preserve"> - общее количество проверок, проведенных в отношении юридических лиц и индивидуальных предпринимателей, в текущем году;</w:t>
            </w:r>
          </w:p>
          <w:p>
            <w:pPr>
              <w:pStyle w:val="0"/>
            </w:pPr>
            <w:r>
              <w:rPr>
                <w:sz w:val="20"/>
              </w:rPr>
              <w:t xml:space="preserve">О</w:t>
            </w:r>
            <w:r>
              <w:rPr>
                <w:sz w:val="20"/>
                <w:vertAlign w:val="subscript"/>
              </w:rPr>
              <w:t xml:space="preserve">мн</w:t>
            </w:r>
            <w:r>
              <w:rPr>
                <w:sz w:val="20"/>
              </w:rPr>
              <w:t xml:space="preserve"> - количество проверок, проведенных с нарушением установленных законодательством Российской Федерации требований к организации и проведению проверок (по данным вступивших в законную силу судебных решений)</w:t>
            </w:r>
          </w:p>
        </w:tc>
      </w:tr>
      <w:tr>
        <w:tc>
          <w:tcPr>
            <w:tcW w:w="907" w:type="dxa"/>
          </w:tcPr>
          <w:p>
            <w:pPr>
              <w:pStyle w:val="0"/>
              <w:jc w:val="center"/>
            </w:pPr>
            <w:r>
              <w:rPr>
                <w:sz w:val="20"/>
              </w:rPr>
              <w:t xml:space="preserve">20.</w:t>
            </w:r>
          </w:p>
        </w:tc>
        <w:tc>
          <w:tcPr>
            <w:tcW w:w="3118" w:type="dxa"/>
          </w:tcPr>
          <w:p>
            <w:pPr>
              <w:pStyle w:val="0"/>
            </w:pPr>
            <w:r>
              <w:rPr>
                <w:sz w:val="20"/>
              </w:rPr>
              <w:t xml:space="preserve">Региональный государственный контроль (надзор) в области обращения с животными (Департамент ветеринарии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Д</w:t>
            </w:r>
            <w:r>
              <w:rPr>
                <w:sz w:val="20"/>
                <w:vertAlign w:val="subscript"/>
              </w:rPr>
              <w:t xml:space="preserve">п</w:t>
            </w:r>
            <w:r>
              <w:rPr>
                <w:sz w:val="20"/>
              </w:rPr>
              <w:t xml:space="preserve"> = П</w:t>
            </w:r>
            <w:r>
              <w:rPr>
                <w:sz w:val="20"/>
                <w:vertAlign w:val="subscript"/>
              </w:rPr>
              <w:t xml:space="preserve">и</w:t>
            </w:r>
            <w:r>
              <w:rPr>
                <w:sz w:val="20"/>
              </w:rPr>
              <w:t xml:space="preserve"> / П</w:t>
            </w:r>
            <w:r>
              <w:rPr>
                <w:sz w:val="20"/>
                <w:vertAlign w:val="subscript"/>
              </w:rPr>
              <w:t xml:space="preserve">о</w:t>
            </w:r>
            <w:r>
              <w:rPr>
                <w:sz w:val="20"/>
              </w:rPr>
              <w:t xml:space="preserve"> x 100%, где:</w:t>
            </w:r>
          </w:p>
          <w:p>
            <w:pPr>
              <w:pStyle w:val="0"/>
            </w:pPr>
            <w:r>
              <w:rPr>
                <w:sz w:val="20"/>
              </w:rPr>
              <w:t xml:space="preserve">Д</w:t>
            </w:r>
            <w:r>
              <w:rPr>
                <w:sz w:val="20"/>
                <w:vertAlign w:val="subscript"/>
              </w:rPr>
              <w:t xml:space="preserve">п</w:t>
            </w:r>
            <w:r>
              <w:rPr>
                <w:sz w:val="20"/>
              </w:rPr>
              <w:t xml:space="preserve"> - доля исполненных предписаний, выданных по результатам проверок, проведенных в рамках государственного надзора в области обращения с животными;</w:t>
            </w:r>
          </w:p>
          <w:p>
            <w:pPr>
              <w:pStyle w:val="0"/>
            </w:pPr>
            <w:r>
              <w:rPr>
                <w:sz w:val="20"/>
              </w:rPr>
              <w:t xml:space="preserve">П</w:t>
            </w:r>
            <w:r>
              <w:rPr>
                <w:sz w:val="20"/>
                <w:vertAlign w:val="subscript"/>
              </w:rPr>
              <w:t xml:space="preserve">и</w:t>
            </w:r>
            <w:r>
              <w:rPr>
                <w:sz w:val="20"/>
              </w:rPr>
              <w:t xml:space="preserve"> - количество предписаний, исполненных в отчетном периоде, единиц;</w:t>
            </w:r>
          </w:p>
          <w:p>
            <w:pPr>
              <w:pStyle w:val="0"/>
            </w:pPr>
            <w:r>
              <w:rPr>
                <w:sz w:val="20"/>
              </w:rPr>
              <w:t xml:space="preserve">П</w:t>
            </w:r>
            <w:r>
              <w:rPr>
                <w:sz w:val="20"/>
                <w:vertAlign w:val="subscript"/>
              </w:rPr>
              <w:t xml:space="preserve">о</w:t>
            </w:r>
            <w:r>
              <w:rPr>
                <w:sz w:val="20"/>
              </w:rPr>
              <w:t xml:space="preserve"> - общее количество выданных предписаний, срок исполнения которых приходится на отчетный период, единиц.</w:t>
            </w:r>
          </w:p>
          <w:p>
            <w:pPr>
              <w:pStyle w:val="0"/>
            </w:pPr>
            <w:r>
              <w:rPr>
                <w:sz w:val="20"/>
              </w:rPr>
              <w:t xml:space="preserve">Для расчета показателя используются данные результатов проверок, проведенных в рамках государственного надзора в области обращения с животными, из отчетов по </w:t>
            </w:r>
            <w:hyperlink w:history="0" r:id="rId68"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quot; {КонсультантПлюс}">
              <w:r>
                <w:rPr>
                  <w:sz w:val="20"/>
                  <w:color w:val="0000ff"/>
                </w:rPr>
                <w:t xml:space="preserve">форме</w:t>
              </w:r>
            </w:hyperlink>
            <w:r>
              <w:rPr>
                <w:sz w:val="20"/>
              </w:rPr>
              <w:t xml:space="preserve"> федерального статистического наблюдения N 1-контроль, утвержденной Приказом Росстата от 21.12.2011 N 503</w:t>
            </w:r>
          </w:p>
        </w:tc>
      </w:tr>
      <w:tr>
        <w:tc>
          <w:tcPr>
            <w:tcW w:w="907" w:type="dxa"/>
          </w:tcPr>
          <w:p>
            <w:pPr>
              <w:pStyle w:val="0"/>
              <w:jc w:val="center"/>
            </w:pPr>
            <w:r>
              <w:rPr>
                <w:sz w:val="20"/>
              </w:rPr>
              <w:t xml:space="preserve">21.</w:t>
            </w:r>
          </w:p>
        </w:tc>
        <w:tc>
          <w:tcPr>
            <w:tcW w:w="3118" w:type="dxa"/>
          </w:tcPr>
          <w:p>
            <w:pPr>
              <w:pStyle w:val="0"/>
            </w:pPr>
            <w:r>
              <w:rPr>
                <w:sz w:val="20"/>
              </w:rPr>
              <w:t xml:space="preserve">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(Министерство образования и молодежной политики Свердловской области)</w:t>
            </w:r>
          </w:p>
        </w:tc>
        <w:tc>
          <w:tcPr>
            <w:tcW w:w="9581" w:type="dxa"/>
          </w:tcPr>
          <w:p>
            <w:pPr>
              <w:pStyle w:val="0"/>
            </w:pPr>
            <w:r>
              <w:rPr>
                <w:sz w:val="20"/>
              </w:rPr>
              <w:t xml:space="preserve">показатель рассчитывается по формуле:</w:t>
            </w:r>
          </w:p>
          <w:p>
            <w:pPr>
              <w:pStyle w:val="0"/>
            </w:pPr>
            <w:r>
              <w:rPr>
                <w:sz w:val="20"/>
              </w:rPr>
              <w:t xml:space="preserve">Э</w:t>
            </w:r>
            <w:r>
              <w:rPr>
                <w:sz w:val="20"/>
                <w:vertAlign w:val="subscript"/>
              </w:rPr>
              <w:t xml:space="preserve">кнд</w:t>
            </w:r>
            <w:r>
              <w:rPr>
                <w:sz w:val="20"/>
              </w:rPr>
              <w:t xml:space="preserve"> = К</w:t>
            </w:r>
            <w:r>
              <w:rPr>
                <w:sz w:val="20"/>
                <w:vertAlign w:val="subscript"/>
              </w:rPr>
              <w:t xml:space="preserve">ун</w:t>
            </w:r>
            <w:r>
              <w:rPr>
                <w:sz w:val="20"/>
              </w:rPr>
              <w:t xml:space="preserve"> / К</w:t>
            </w:r>
            <w:r>
              <w:rPr>
                <w:sz w:val="20"/>
                <w:vertAlign w:val="subscript"/>
              </w:rPr>
              <w:t xml:space="preserve">вн</w:t>
            </w:r>
            <w:r>
              <w:rPr>
                <w:sz w:val="20"/>
              </w:rPr>
              <w:t xml:space="preserve"> x 100%, где:</w:t>
            </w:r>
          </w:p>
          <w:p>
            <w:pPr>
              <w:pStyle w:val="0"/>
            </w:pPr>
            <w:r>
              <w:rPr>
                <w:sz w:val="20"/>
              </w:rPr>
              <w:t xml:space="preserve">Э</w:t>
            </w:r>
            <w:r>
              <w:rPr>
                <w:sz w:val="20"/>
                <w:vertAlign w:val="subscript"/>
              </w:rPr>
              <w:t xml:space="preserve">кнд</w:t>
            </w:r>
            <w:r>
              <w:rPr>
                <w:sz w:val="20"/>
              </w:rPr>
              <w:t xml:space="preserve"> - эффективность контрольной (надзорной) деятельности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pPr>
            <w:r>
              <w:rPr>
                <w:sz w:val="20"/>
              </w:rPr>
              <w:t xml:space="preserve">К</w:t>
            </w:r>
            <w:r>
              <w:rPr>
                <w:sz w:val="20"/>
                <w:vertAlign w:val="subscript"/>
              </w:rPr>
              <w:t xml:space="preserve">ун</w:t>
            </w:r>
            <w:r>
              <w:rPr>
                <w:sz w:val="20"/>
              </w:rPr>
              <w:t xml:space="preserve"> - количество неустраненных нарушений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 в отчетном году;</w:t>
            </w:r>
          </w:p>
          <w:p>
            <w:pPr>
              <w:pStyle w:val="0"/>
            </w:pPr>
            <w:r>
              <w:rPr>
                <w:sz w:val="20"/>
              </w:rPr>
              <w:t xml:space="preserve">К</w:t>
            </w:r>
            <w:r>
              <w:rPr>
                <w:sz w:val="20"/>
                <w:vertAlign w:val="subscript"/>
              </w:rPr>
              <w:t xml:space="preserve">вн</w:t>
            </w:r>
            <w:r>
              <w:rPr>
                <w:sz w:val="20"/>
              </w:rPr>
              <w:t xml:space="preserve"> - общее количество выявленных нарушений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 в отчетном году</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1"/>
        <w:jc w:val="center"/>
      </w:pPr>
      <w:r>
        <w:rPr>
          <w:sz w:val="20"/>
        </w:rPr>
        <w:t xml:space="preserve">Раздел 3. ИНДИКАТИВНЫЕ ПОКАЗАТЕЛИ ЭФФЕКТИВНОСТИ ГРУППЫ "В",</w:t>
      </w:r>
    </w:p>
    <w:p>
      <w:pPr>
        <w:pStyle w:val="2"/>
        <w:jc w:val="center"/>
      </w:pPr>
      <w:r>
        <w:rPr>
          <w:sz w:val="20"/>
        </w:rPr>
        <w:t xml:space="preserve">ХАРАКТЕРИЗУЮЩИЕ РАЗЛИЧНЫЕ АСПЕКТЫ</w:t>
      </w:r>
    </w:p>
    <w:p>
      <w:pPr>
        <w:pStyle w:val="2"/>
        <w:jc w:val="center"/>
      </w:pPr>
      <w:r>
        <w:rPr>
          <w:sz w:val="20"/>
        </w:rPr>
        <w:t xml:space="preserve">КОНТРОЛЬНО-НАДЗОРНОЙ ДЕЯТЕЛЬНОСТИ &lt;*&gt;</w:t>
      </w:r>
    </w:p>
    <w:p>
      <w:pPr>
        <w:pStyle w:val="0"/>
        <w:jc w:val="center"/>
      </w:pPr>
      <w:r>
        <w:rPr>
          <w:sz w:val="20"/>
        </w:rPr>
        <w:t xml:space="preserve">(в ред. </w:t>
      </w:r>
      <w:hyperlink w:history="0" r:id="rId69"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29.04.2021 N 257-ПП)</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Применение показателей группы "В" в действующей редакции осуществляется начиная с мониторинга сведений за 2021 год.</w:t>
      </w:r>
    </w:p>
    <w:p>
      <w:pPr>
        <w:pStyle w:val="0"/>
      </w:pPr>
      <w:r>
        <w:rPr>
          <w:sz w:val="20"/>
        </w:rPr>
      </w:r>
    </w:p>
    <w:p>
      <w:pPr>
        <w:pStyle w:val="0"/>
        <w:outlineLvl w:val="2"/>
        <w:jc w:val="right"/>
      </w:pPr>
      <w:r>
        <w:rPr>
          <w:sz w:val="20"/>
        </w:rPr>
        <w:t xml:space="preserve">Таблица 3</w:t>
      </w:r>
    </w:p>
    <w:p>
      <w:pPr>
        <w:pStyle w:val="0"/>
        <w:jc w:val="center"/>
      </w:pPr>
      <w:r>
        <w:rPr>
          <w:sz w:val="20"/>
        </w:rPr>
        <w:t xml:space="preserve">(в ред. </w:t>
      </w:r>
      <w:hyperlink w:history="0" r:id="rId70"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29.12.2021 N 994-ПП)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Номер строки</w:t>
            </w:r>
          </w:p>
        </w:tc>
        <w:tc>
          <w:tcPr>
            <w:tcW w:w="8164" w:type="dxa"/>
          </w:tcPr>
          <w:p>
            <w:pPr>
              <w:pStyle w:val="0"/>
              <w:jc w:val="center"/>
            </w:pPr>
            <w:r>
              <w:rPr>
                <w:sz w:val="20"/>
              </w:rPr>
              <w:t xml:space="preserve">Наименование индикативного показателя (группы показателей) эффективности группы "В", характеризующего различные аспекты контрольно-надзорной деятельности</w:t>
            </w:r>
          </w:p>
        </w:tc>
      </w:tr>
      <w:tr>
        <w:tc>
          <w:tcPr>
            <w:tcW w:w="907" w:type="dxa"/>
          </w:tcPr>
          <w:p>
            <w:pPr>
              <w:pStyle w:val="0"/>
              <w:jc w:val="center"/>
            </w:pPr>
            <w:r>
              <w:rPr>
                <w:sz w:val="20"/>
              </w:rPr>
              <w:t xml:space="preserve">1</w:t>
            </w:r>
          </w:p>
        </w:tc>
        <w:tc>
          <w:tcPr>
            <w:tcW w:w="8164" w:type="dxa"/>
          </w:tcPr>
          <w:p>
            <w:pPr>
              <w:pStyle w:val="0"/>
              <w:jc w:val="center"/>
            </w:pPr>
            <w:r>
              <w:rPr>
                <w:sz w:val="20"/>
              </w:rPr>
              <w:t xml:space="preserve">2</w:t>
            </w:r>
          </w:p>
        </w:tc>
      </w:tr>
      <w:tr>
        <w:tc>
          <w:tcPr>
            <w:tcW w:w="907" w:type="dxa"/>
          </w:tcPr>
          <w:p>
            <w:pPr>
              <w:pStyle w:val="0"/>
              <w:jc w:val="center"/>
            </w:pPr>
            <w:r>
              <w:rPr>
                <w:sz w:val="20"/>
              </w:rPr>
              <w:t xml:space="preserve">1.</w:t>
            </w:r>
          </w:p>
        </w:tc>
        <w:tc>
          <w:tcPr>
            <w:tcW w:w="8164" w:type="dxa"/>
          </w:tcPr>
          <w:p>
            <w:pPr>
              <w:pStyle w:val="0"/>
            </w:pPr>
            <w:r>
              <w:rPr>
                <w:sz w:val="20"/>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tc>
          <w:tcPr>
            <w:tcW w:w="907" w:type="dxa"/>
          </w:tcPr>
          <w:p>
            <w:pPr>
              <w:pStyle w:val="0"/>
              <w:jc w:val="center"/>
            </w:pPr>
            <w:r>
              <w:rPr>
                <w:sz w:val="20"/>
              </w:rPr>
              <w:t xml:space="preserve">2.</w:t>
            </w:r>
          </w:p>
        </w:tc>
        <w:tc>
          <w:tcPr>
            <w:tcW w:w="8164" w:type="dxa"/>
          </w:tcPr>
          <w:p>
            <w:pPr>
              <w:pStyle w:val="0"/>
            </w:pPr>
            <w:r>
              <w:rPr>
                <w:sz w:val="20"/>
              </w:rPr>
              <w:t xml:space="preserve">Общее количество плановых контрольных (надзорных) мероприятий, проведенных за отчетный период</w:t>
            </w:r>
          </w:p>
        </w:tc>
      </w:tr>
      <w:tr>
        <w:tc>
          <w:tcPr>
            <w:tcW w:w="907" w:type="dxa"/>
          </w:tcPr>
          <w:p>
            <w:pPr>
              <w:pStyle w:val="0"/>
              <w:jc w:val="center"/>
            </w:pPr>
            <w:r>
              <w:rPr>
                <w:sz w:val="20"/>
              </w:rPr>
              <w:t xml:space="preserve">3.</w:t>
            </w:r>
          </w:p>
        </w:tc>
        <w:tc>
          <w:tcPr>
            <w:tcW w:w="8164" w:type="dxa"/>
          </w:tcPr>
          <w:p>
            <w:pPr>
              <w:pStyle w:val="0"/>
            </w:pPr>
            <w:r>
              <w:rPr>
                <w:sz w:val="20"/>
              </w:rPr>
              <w:t xml:space="preserve">Общее количество внеплановых контрольных (надзорных) мероприятий, проведенных за отчетный период</w:t>
            </w:r>
          </w:p>
        </w:tc>
      </w:tr>
      <w:tr>
        <w:tc>
          <w:tcPr>
            <w:tcW w:w="907" w:type="dxa"/>
          </w:tcPr>
          <w:p>
            <w:pPr>
              <w:pStyle w:val="0"/>
              <w:jc w:val="center"/>
            </w:pPr>
            <w:r>
              <w:rPr>
                <w:sz w:val="20"/>
              </w:rPr>
              <w:t xml:space="preserve">4.</w:t>
            </w:r>
          </w:p>
        </w:tc>
        <w:tc>
          <w:tcPr>
            <w:tcW w:w="8164" w:type="dxa"/>
          </w:tcPr>
          <w:p>
            <w:pPr>
              <w:pStyle w:val="0"/>
            </w:pPr>
            <w:r>
              <w:rPr>
                <w:sz w:val="20"/>
              </w:rPr>
              <w:t xml:space="preserve">Общее количество учтенных объектов контроля на конец отчетного периода</w:t>
            </w:r>
          </w:p>
        </w:tc>
      </w:tr>
      <w:tr>
        <w:tc>
          <w:tcPr>
            <w:tcW w:w="907" w:type="dxa"/>
          </w:tcPr>
          <w:p>
            <w:pPr>
              <w:pStyle w:val="0"/>
              <w:jc w:val="center"/>
            </w:pPr>
            <w:r>
              <w:rPr>
                <w:sz w:val="20"/>
              </w:rPr>
              <w:t xml:space="preserve">5.</w:t>
            </w:r>
          </w:p>
        </w:tc>
        <w:tc>
          <w:tcPr>
            <w:tcW w:w="8164" w:type="dxa"/>
          </w:tcPr>
          <w:p>
            <w:pPr>
              <w:pStyle w:val="0"/>
            </w:pPr>
            <w:r>
              <w:rPr>
                <w:sz w:val="20"/>
              </w:rPr>
              <w:t xml:space="preserve">Количество учтенных контролируемых лиц на конец отчетного периода</w:t>
            </w:r>
          </w:p>
        </w:tc>
      </w:tr>
      <w:tr>
        <w:tc>
          <w:tcPr>
            <w:tcW w:w="907" w:type="dxa"/>
          </w:tcPr>
          <w:p>
            <w:pPr>
              <w:pStyle w:val="0"/>
              <w:jc w:val="center"/>
            </w:pPr>
            <w:r>
              <w:rPr>
                <w:sz w:val="20"/>
              </w:rPr>
              <w:t xml:space="preserve">6.</w:t>
            </w:r>
          </w:p>
        </w:tc>
        <w:tc>
          <w:tcPr>
            <w:tcW w:w="8164" w:type="dxa"/>
          </w:tcPr>
          <w:p>
            <w:pPr>
              <w:pStyle w:val="0"/>
            </w:pPr>
            <w:r>
              <w:rPr>
                <w:sz w:val="20"/>
              </w:rPr>
              <w:t xml:space="preserve">Количество учтенных контролируемых лиц, в отношении которых проведены контрольные (надзорные) мероприятия, за отчетный период</w:t>
            </w:r>
          </w:p>
        </w:tc>
      </w:tr>
      <w:tr>
        <w:tc>
          <w:tcPr>
            <w:tcW w:w="907" w:type="dxa"/>
          </w:tcPr>
          <w:p>
            <w:pPr>
              <w:pStyle w:val="0"/>
              <w:jc w:val="center"/>
            </w:pPr>
            <w:r>
              <w:rPr>
                <w:sz w:val="20"/>
              </w:rPr>
              <w:t xml:space="preserve">7.</w:t>
            </w:r>
          </w:p>
        </w:tc>
        <w:tc>
          <w:tcPr>
            <w:tcW w:w="8164" w:type="dxa"/>
          </w:tcPr>
          <w:p>
            <w:pPr>
              <w:pStyle w:val="0"/>
            </w:pPr>
            <w:r>
              <w:rPr>
                <w:sz w:val="20"/>
              </w:rPr>
              <w:t xml:space="preserve">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tc>
          <w:tcPr>
            <w:tcW w:w="907" w:type="dxa"/>
          </w:tcPr>
          <w:p>
            <w:pPr>
              <w:pStyle w:val="0"/>
              <w:jc w:val="center"/>
            </w:pPr>
            <w:r>
              <w:rPr>
                <w:sz w:val="20"/>
              </w:rPr>
              <w:t xml:space="preserve">8.</w:t>
            </w:r>
          </w:p>
        </w:tc>
        <w:tc>
          <w:tcPr>
            <w:tcW w:w="8164" w:type="dxa"/>
          </w:tcPr>
          <w:p>
            <w:pPr>
              <w:pStyle w:val="0"/>
            </w:pPr>
            <w:r>
              <w:rPr>
                <w:sz w:val="20"/>
              </w:rPr>
              <w:t xml:space="preserve">Количество учтенных объектов контроля, отнесенных к категориям риска, по каждой из категорий риска на конец отчетного периода</w:t>
            </w:r>
          </w:p>
        </w:tc>
      </w:tr>
      <w:tr>
        <w:tc>
          <w:tcPr>
            <w:tcW w:w="907" w:type="dxa"/>
          </w:tcPr>
          <w:p>
            <w:pPr>
              <w:pStyle w:val="0"/>
              <w:jc w:val="center"/>
            </w:pPr>
            <w:r>
              <w:rPr>
                <w:sz w:val="20"/>
              </w:rPr>
              <w:t xml:space="preserve">9.</w:t>
            </w:r>
          </w:p>
        </w:tc>
        <w:tc>
          <w:tcPr>
            <w:tcW w:w="8164" w:type="dxa"/>
          </w:tcPr>
          <w:p>
            <w:pPr>
              <w:pStyle w:val="0"/>
            </w:pPr>
            <w:r>
              <w:rPr>
                <w:sz w:val="20"/>
              </w:rPr>
              <w:t xml:space="preserve">Количество контрольных (надзорных) мероприятий, по результатам которых выявлены нарушения обязательных требований, за отчетный период</w:t>
            </w:r>
          </w:p>
        </w:tc>
      </w:tr>
      <w:tr>
        <w:tc>
          <w:tcPr>
            <w:tcW w:w="907" w:type="dxa"/>
          </w:tcPr>
          <w:p>
            <w:pPr>
              <w:pStyle w:val="0"/>
              <w:jc w:val="center"/>
            </w:pPr>
            <w:r>
              <w:rPr>
                <w:sz w:val="20"/>
              </w:rPr>
              <w:t xml:space="preserve">10.</w:t>
            </w:r>
          </w:p>
        </w:tc>
        <w:tc>
          <w:tcPr>
            <w:tcW w:w="8164" w:type="dxa"/>
          </w:tcPr>
          <w:p>
            <w:pPr>
              <w:pStyle w:val="0"/>
            </w:pPr>
            <w:r>
              <w:rPr>
                <w:sz w:val="20"/>
              </w:rPr>
              <w:t xml:space="preserve">Общее количество жалоб, поданных контролируемыми лицами в досудебном порядке, за отчетный период</w:t>
            </w:r>
          </w:p>
        </w:tc>
      </w:tr>
      <w:tr>
        <w:tc>
          <w:tcPr>
            <w:tcW w:w="907" w:type="dxa"/>
          </w:tcPr>
          <w:p>
            <w:pPr>
              <w:pStyle w:val="0"/>
              <w:jc w:val="center"/>
            </w:pPr>
            <w:r>
              <w:rPr>
                <w:sz w:val="20"/>
              </w:rPr>
              <w:t xml:space="preserve">11.</w:t>
            </w:r>
          </w:p>
        </w:tc>
        <w:tc>
          <w:tcPr>
            <w:tcW w:w="8164" w:type="dxa"/>
          </w:tcPr>
          <w:p>
            <w:pPr>
              <w:pStyle w:val="0"/>
            </w:pPr>
            <w:r>
              <w:rPr>
                <w:sz w:val="20"/>
              </w:rPr>
              <w:t xml:space="preserve">Количество жалоб, в отношении которых контрольным (надзорным) органом был нарушен срок рассмотрения, за отчетный период</w:t>
            </w:r>
          </w:p>
        </w:tc>
      </w:tr>
      <w:tr>
        <w:tc>
          <w:tcPr>
            <w:tcW w:w="907" w:type="dxa"/>
          </w:tcPr>
          <w:p>
            <w:pPr>
              <w:pStyle w:val="0"/>
              <w:jc w:val="center"/>
            </w:pPr>
            <w:r>
              <w:rPr>
                <w:sz w:val="20"/>
              </w:rPr>
              <w:t xml:space="preserve">12.</w:t>
            </w:r>
          </w:p>
        </w:tc>
        <w:tc>
          <w:tcPr>
            <w:tcW w:w="8164" w:type="dxa"/>
          </w:tcPr>
          <w:p>
            <w:pPr>
              <w:pStyle w:val="0"/>
            </w:pPr>
            <w:r>
              <w:rPr>
                <w:sz w:val="20"/>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tc>
          <w:tcPr>
            <w:tcW w:w="907" w:type="dxa"/>
          </w:tcPr>
          <w:p>
            <w:pPr>
              <w:pStyle w:val="0"/>
              <w:jc w:val="center"/>
            </w:pPr>
            <w:r>
              <w:rPr>
                <w:sz w:val="20"/>
              </w:rPr>
              <w:t xml:space="preserve">13.</w:t>
            </w:r>
          </w:p>
        </w:tc>
        <w:tc>
          <w:tcPr>
            <w:tcW w:w="8164" w:type="dxa"/>
          </w:tcPr>
          <w:p>
            <w:pPr>
              <w:pStyle w:val="0"/>
            </w:pPr>
            <w:r>
              <w:rPr>
                <w:sz w:val="20"/>
              </w:rPr>
              <w:t xml:space="preserve">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tc>
          <w:tcPr>
            <w:tcW w:w="907" w:type="dxa"/>
          </w:tcPr>
          <w:p>
            <w:pPr>
              <w:pStyle w:val="0"/>
              <w:jc w:val="center"/>
            </w:pPr>
            <w:r>
              <w:rPr>
                <w:sz w:val="20"/>
              </w:rPr>
              <w:t xml:space="preserve">14.</w:t>
            </w:r>
          </w:p>
        </w:tc>
        <w:tc>
          <w:tcPr>
            <w:tcW w:w="8164" w:type="dxa"/>
          </w:tcPr>
          <w:p>
            <w:pPr>
              <w:pStyle w:val="0"/>
            </w:pPr>
            <w:r>
              <w:rPr>
                <w:sz w:val="20"/>
              </w:rPr>
              <w:t xml:space="preserve">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tc>
          <w:tcPr>
            <w:tcW w:w="907" w:type="dxa"/>
          </w:tcPr>
          <w:p>
            <w:pPr>
              <w:pStyle w:val="0"/>
              <w:jc w:val="center"/>
            </w:pPr>
            <w:r>
              <w:rPr>
                <w:sz w:val="20"/>
              </w:rPr>
              <w:t xml:space="preserve">15.</w:t>
            </w:r>
          </w:p>
        </w:tc>
        <w:tc>
          <w:tcPr>
            <w:tcW w:w="8164" w:type="dxa"/>
          </w:tcPr>
          <w:p>
            <w:pPr>
              <w:pStyle w:val="0"/>
            </w:pPr>
            <w:r>
              <w:rPr>
                <w:sz w:val="2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tc>
          <w:tcPr>
            <w:tcW w:w="907" w:type="dxa"/>
          </w:tcPr>
          <w:p>
            <w:pPr>
              <w:pStyle w:val="0"/>
              <w:jc w:val="center"/>
            </w:pPr>
            <w:r>
              <w:rPr>
                <w:sz w:val="20"/>
              </w:rPr>
              <w:t xml:space="preserve">16.</w:t>
            </w:r>
          </w:p>
        </w:tc>
        <w:tc>
          <w:tcPr>
            <w:tcW w:w="8164" w:type="dxa"/>
          </w:tcPr>
          <w:p>
            <w:pPr>
              <w:pStyle w:val="0"/>
            </w:pPr>
            <w:r>
              <w:rPr>
                <w:sz w:val="20"/>
              </w:rPr>
              <w:t xml:space="preserve">Количество направленных в органы прокуратуры заявлений о согласовании проведения контрольных (надзорных) мероприятий за отчетный период</w:t>
            </w:r>
          </w:p>
        </w:tc>
      </w:tr>
      <w:tr>
        <w:tc>
          <w:tcPr>
            <w:tcW w:w="907" w:type="dxa"/>
          </w:tcPr>
          <w:p>
            <w:pPr>
              <w:pStyle w:val="0"/>
              <w:jc w:val="center"/>
            </w:pPr>
            <w:r>
              <w:rPr>
                <w:sz w:val="20"/>
              </w:rPr>
              <w:t xml:space="preserve">17.</w:t>
            </w:r>
          </w:p>
        </w:tc>
        <w:tc>
          <w:tcPr>
            <w:tcW w:w="8164" w:type="dxa"/>
          </w:tcPr>
          <w:p>
            <w:pPr>
              <w:pStyle w:val="0"/>
            </w:pPr>
            <w:r>
              <w:rPr>
                <w:sz w:val="20"/>
              </w:rPr>
              <w:t xml:space="preserve">Количество контрольных (надзорных) мероприятий, по итогам которых возбуждены дела об административных правонарушениях, за отчетный период</w:t>
            </w:r>
          </w:p>
        </w:tc>
      </w:tr>
      <w:tr>
        <w:tc>
          <w:tcPr>
            <w:tcW w:w="907" w:type="dxa"/>
          </w:tcPr>
          <w:p>
            <w:pPr>
              <w:pStyle w:val="0"/>
              <w:jc w:val="center"/>
            </w:pPr>
            <w:r>
              <w:rPr>
                <w:sz w:val="20"/>
              </w:rPr>
              <w:t xml:space="preserve">18.</w:t>
            </w:r>
          </w:p>
        </w:tc>
        <w:tc>
          <w:tcPr>
            <w:tcW w:w="8164" w:type="dxa"/>
          </w:tcPr>
          <w:p>
            <w:pPr>
              <w:pStyle w:val="0"/>
            </w:pPr>
            <w:r>
              <w:rPr>
                <w:sz w:val="20"/>
              </w:rPr>
              <w:t xml:space="preserve">Сумма административных штрафов, наложенных по результатам контрольных (надзорных) мероприятий, за отчетный период</w:t>
            </w:r>
          </w:p>
        </w:tc>
      </w:tr>
      <w:tr>
        <w:tc>
          <w:tcPr>
            <w:tcW w:w="907" w:type="dxa"/>
          </w:tcPr>
          <w:p>
            <w:pPr>
              <w:pStyle w:val="0"/>
              <w:jc w:val="center"/>
            </w:pPr>
            <w:r>
              <w:rPr>
                <w:sz w:val="20"/>
              </w:rPr>
              <w:t xml:space="preserve">19.</w:t>
            </w:r>
          </w:p>
        </w:tc>
        <w:tc>
          <w:tcPr>
            <w:tcW w:w="8164" w:type="dxa"/>
          </w:tcPr>
          <w:p>
            <w:pPr>
              <w:pStyle w:val="0"/>
            </w:pPr>
            <w:r>
              <w:rPr>
                <w:sz w:val="20"/>
              </w:rPr>
              <w:t xml:space="preserve">Количество предостережений о недопустимости нарушения обязательных требований, объявленных за отчетный период</w:t>
            </w:r>
          </w:p>
        </w:tc>
      </w:tr>
      <w:tr>
        <w:tc>
          <w:tcPr>
            <w:tcW w:w="907" w:type="dxa"/>
          </w:tcPr>
          <w:p>
            <w:pPr>
              <w:pStyle w:val="0"/>
              <w:jc w:val="center"/>
            </w:pPr>
            <w:r>
              <w:rPr>
                <w:sz w:val="20"/>
              </w:rPr>
              <w:t xml:space="preserve">20.</w:t>
            </w:r>
          </w:p>
        </w:tc>
        <w:tc>
          <w:tcPr>
            <w:tcW w:w="8164" w:type="dxa"/>
          </w:tcPr>
          <w:p>
            <w:pPr>
              <w:pStyle w:val="0"/>
            </w:pPr>
            <w:r>
              <w:rPr>
                <w:sz w:val="20"/>
              </w:rPr>
              <w:t xml:space="preserve">Количество обязательных профилактических визитов, проведенных за отчетный период</w:t>
            </w:r>
          </w:p>
        </w:tc>
      </w:tr>
      <w:tr>
        <w:tc>
          <w:tcPr>
            <w:tcW w:w="907" w:type="dxa"/>
          </w:tcPr>
          <w:p>
            <w:pPr>
              <w:pStyle w:val="0"/>
              <w:jc w:val="center"/>
            </w:pPr>
            <w:r>
              <w:rPr>
                <w:sz w:val="20"/>
              </w:rPr>
              <w:t xml:space="preserve">21.</w:t>
            </w:r>
          </w:p>
        </w:tc>
        <w:tc>
          <w:tcPr>
            <w:tcW w:w="8164" w:type="dxa"/>
          </w:tcPr>
          <w:p>
            <w:pPr>
              <w:pStyle w:val="0"/>
            </w:pPr>
            <w:r>
              <w:rPr>
                <w:sz w:val="20"/>
              </w:rPr>
              <w:t xml:space="preserve">Общее количество контрольных (надзорных) мероприятий с взаимодействием, проведенных за отчетный период</w:t>
            </w:r>
          </w:p>
        </w:tc>
      </w:tr>
      <w:tr>
        <w:tc>
          <w:tcPr>
            <w:tcW w:w="907" w:type="dxa"/>
          </w:tcPr>
          <w:p>
            <w:pPr>
              <w:pStyle w:val="0"/>
              <w:jc w:val="center"/>
            </w:pPr>
            <w:r>
              <w:rPr>
                <w:sz w:val="20"/>
              </w:rPr>
              <w:t xml:space="preserve">22.</w:t>
            </w:r>
          </w:p>
        </w:tc>
        <w:tc>
          <w:tcPr>
            <w:tcW w:w="8164" w:type="dxa"/>
          </w:tcPr>
          <w:p>
            <w:pPr>
              <w:pStyle w:val="0"/>
            </w:pPr>
            <w:r>
              <w:rPr>
                <w:sz w:val="20"/>
              </w:rPr>
              <w:t xml:space="preserve">Количество контрольных (надзорных) мероприятий с взаимодействием по каждому виду контрольного (надзорного) мероприятия, проведенных за отчетный период</w:t>
            </w:r>
          </w:p>
        </w:tc>
      </w:tr>
      <w:tr>
        <w:tc>
          <w:tcPr>
            <w:tcW w:w="907" w:type="dxa"/>
          </w:tcPr>
          <w:p>
            <w:pPr>
              <w:pStyle w:val="0"/>
              <w:jc w:val="center"/>
            </w:pPr>
            <w:r>
              <w:rPr>
                <w:sz w:val="20"/>
              </w:rPr>
              <w:t xml:space="preserve">23.</w:t>
            </w:r>
          </w:p>
        </w:tc>
        <w:tc>
          <w:tcPr>
            <w:tcW w:w="8164" w:type="dxa"/>
          </w:tcPr>
          <w:p>
            <w:pPr>
              <w:pStyle w:val="0"/>
            </w:pPr>
            <w:r>
              <w:rPr>
                <w:sz w:val="20"/>
              </w:rPr>
              <w:t xml:space="preserve">Количество контрольных (надзорных) мероприятий, проведенных с использованием средств дистанционного взаимодействия, за отчетный период</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29.12.2017 N 1033-ПП</w:t>
            <w:br/>
            <w:t>(ред. от 15.12.2022)</w:t>
            <w:br/>
            <w:t>"Об утверждении Порядка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29.12.2017 N 1033-ПП</w:t>
            <w:br/>
            <w:t>(ред. от 15.12.2022)</w:t>
            <w:br/>
            <w:t>"Об утверждении Порядка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543CCDAAAC6DA6BBF3C421806F90944B9134176FF3926D90EFB8C3A4938526B77AD5B650D1B611D921C69D512C5031986258DE209A442EE950AA88V3ICI" TargetMode = "External"/>
	<Relationship Id="rId8" Type="http://schemas.openxmlformats.org/officeDocument/2006/relationships/hyperlink" Target="consultantplus://offline/ref=D1543CCDAAAC6DA6BBF3C421806F90944B9134176FF5916C9AE5B8C3A4938526B77AD5B650D1B611D921C69C562C5031986258DE209A442EE950AA88V3ICI" TargetMode = "External"/>
	<Relationship Id="rId9" Type="http://schemas.openxmlformats.org/officeDocument/2006/relationships/hyperlink" Target="consultantplus://offline/ref=D1543CCDAAAC6DA6BBF3C421806F90944B9134176FF490699EE7B8C3A4938526B77AD5B650D1B611D921C69D512C5031986258DE209A442EE950AA88V3ICI" TargetMode = "External"/>
	<Relationship Id="rId10" Type="http://schemas.openxmlformats.org/officeDocument/2006/relationships/hyperlink" Target="consultantplus://offline/ref=D1543CCDAAAC6DA6BBF3C421806F90944B9134176FF69C629FE1B8C3A4938526B77AD5B650D1B611D921C69D512C5031986258DE209A442EE950AA88V3ICI" TargetMode = "External"/>
	<Relationship Id="rId11" Type="http://schemas.openxmlformats.org/officeDocument/2006/relationships/hyperlink" Target="consultantplus://offline/ref=D1543CCDAAAC6DA6BBF3C421806F90944B9134176FF7926C90E4B8C3A4938526B77AD5B650D1B611D921C69D512C5031986258DE209A442EE950AA88V3ICI" TargetMode = "External"/>
	<Relationship Id="rId12" Type="http://schemas.openxmlformats.org/officeDocument/2006/relationships/hyperlink" Target="consultantplus://offline/ref=D1543CCDAAAC6DA6BBF3C421806F90944B9134176EF0966D9BE0B8C3A4938526B77AD5B650D1B611D921C69D512C5031986258DE209A442EE950AA88V3ICI" TargetMode = "External"/>
	<Relationship Id="rId13" Type="http://schemas.openxmlformats.org/officeDocument/2006/relationships/hyperlink" Target="consultantplus://offline/ref=D1543CCDAAAC6DA6BBF3C421806F90944B9134176EF19D6D9CEEB8C3A4938526B77AD5B650D1B611D921C69D512C5031986258DE209A442EE950AA88V3ICI" TargetMode = "External"/>
	<Relationship Id="rId14" Type="http://schemas.openxmlformats.org/officeDocument/2006/relationships/hyperlink" Target="consultantplus://offline/ref=D1543CCDAAAC6DA6BBF3C421806F90944B9134176EF4976A9DEEB8C3A4938526B77AD5B650D1B611D921C69D512C5031986258DE209A442EE950AA88V3ICI" TargetMode = "External"/>
	<Relationship Id="rId15" Type="http://schemas.openxmlformats.org/officeDocument/2006/relationships/hyperlink" Target="consultantplus://offline/ref=D1543CCDAAAC6DA6BBF3DA2C9603CE9E4E996A1C6EF79F3CC5B3BE94FBC38373E53A8BEF1192A510DA3FC49D56V2I4I" TargetMode = "External"/>
	<Relationship Id="rId16" Type="http://schemas.openxmlformats.org/officeDocument/2006/relationships/hyperlink" Target="consultantplus://offline/ref=D1543CCDAAAC6DA6BBF3DA2C9603CE9E49996F1868F39F3CC5B3BE94FBC38373F73AD3E31395BC17DA2A92CC10720962DB2955DF3986442FVFI4I" TargetMode = "External"/>
	<Relationship Id="rId17" Type="http://schemas.openxmlformats.org/officeDocument/2006/relationships/hyperlink" Target="consultantplus://offline/ref=D1543CCDAAAC6DA6BBF3DA2C9603CE9E4E98631D68F99F3CC5B3BE94FBC38373F73AD3E11194B0448865939056201A60DF2957DC25V8I7I" TargetMode = "External"/>
	<Relationship Id="rId18" Type="http://schemas.openxmlformats.org/officeDocument/2006/relationships/hyperlink" Target="consultantplus://offline/ref=D1543CCDAAAC6DA6BBF3C421806F90944B9134176FF490699EE7B8C3A4938526B77AD5B650D1B611D921C69D522C5031986258DE209A442EE950AA88V3ICI" TargetMode = "External"/>
	<Relationship Id="rId19" Type="http://schemas.openxmlformats.org/officeDocument/2006/relationships/hyperlink" Target="consultantplus://offline/ref=D1543CCDAAAC6DA6BBF3C421806F90944B9134176EF19D6D9CEEB8C3A4938526B77AD5B650D1B611D921C69D522C5031986258DE209A442EE950AA88V3ICI" TargetMode = "External"/>
	<Relationship Id="rId20" Type="http://schemas.openxmlformats.org/officeDocument/2006/relationships/hyperlink" Target="consultantplus://offline/ref=D1543CCDAAAC6DA6BBF3C421806F90944B9134176FF490699EE7B8C3A4938526B77AD5B650D1B611D921C69D5D2C5031986258DE209A442EE950AA88V3ICI" TargetMode = "External"/>
	<Relationship Id="rId21" Type="http://schemas.openxmlformats.org/officeDocument/2006/relationships/hyperlink" Target="consultantplus://offline/ref=D1543CCDAAAC6DA6BBF3C421806F90944B9134176FF69C629FE1B8C3A4938526B77AD5B650D1B611D921C69D5C2C5031986258DE209A442EE950AA88V3ICI" TargetMode = "External"/>
	<Relationship Id="rId22" Type="http://schemas.openxmlformats.org/officeDocument/2006/relationships/hyperlink" Target="consultantplus://offline/ref=D1543CCDAAAC6DA6BBF3C421806F90944B9134176FF7926C90E4B8C3A4938526B77AD5B650D1B611D921C69D512C5031986258DE209A442EE950AA88V3ICI" TargetMode = "External"/>
	<Relationship Id="rId23" Type="http://schemas.openxmlformats.org/officeDocument/2006/relationships/hyperlink" Target="consultantplus://offline/ref=D1543CCDAAAC6DA6BBF3C421806F90944B9134176EF0966D9BE0B8C3A4938526B77AD5B650D1B611D921C69D512C5031986258DE209A442EE950AA88V3ICI" TargetMode = "External"/>
	<Relationship Id="rId24" Type="http://schemas.openxmlformats.org/officeDocument/2006/relationships/hyperlink" Target="consultantplus://offline/ref=D1543CCDAAAC6DA6BBF3C421806F90944B9134176EF19D6D9CEEB8C3A4938526B77AD5B650D1B611D921C69D5C2C5031986258DE209A442EE950AA88V3ICI" TargetMode = "External"/>
	<Relationship Id="rId25" Type="http://schemas.openxmlformats.org/officeDocument/2006/relationships/hyperlink" Target="consultantplus://offline/ref=D1543CCDAAAC6DA6BBF3C421806F90944B9134176FF69C629FE1B8C3A4938526B77AD5B650D1B611D921C69D5D2C5031986258DE209A442EE950AA88V3ICI" TargetMode = "External"/>
	<Relationship Id="rId26" Type="http://schemas.openxmlformats.org/officeDocument/2006/relationships/hyperlink" Target="consultantplus://offline/ref=D1543CCDAAAC6DA6BBF3C421806F90944B9134176FF69C629FE1B8C3A4938526B77AD5B650D1B611D921C69C552C5031986258DE209A442EE950AA88V3ICI" TargetMode = "External"/>
	<Relationship Id="rId27" Type="http://schemas.openxmlformats.org/officeDocument/2006/relationships/hyperlink" Target="consultantplus://offline/ref=D1543CCDAAAC6DA6BBF3DA2C9603CE9E49996F1868F39F3CC5B3BE94FBC38373F73AD3E31394BE10DF2A92CC10720962DB2955DF3986442FVFI4I" TargetMode = "External"/>
	<Relationship Id="rId28" Type="http://schemas.openxmlformats.org/officeDocument/2006/relationships/hyperlink" Target="consultantplus://offline/ref=D1543CCDAAAC6DA6BBF3C421806F90944B9134176EF0966D9BE0B8C3A4938526B77AD5B650D1B611D921C69D522C5031986258DE209A442EE950AA88V3ICI" TargetMode = "External"/>
	<Relationship Id="rId29" Type="http://schemas.openxmlformats.org/officeDocument/2006/relationships/hyperlink" Target="consultantplus://offline/ref=D1543CCDAAAC6DA6BBF3C421806F90944B9134176EF19D6D9CEEB8C3A4938526B77AD5B650D1B611D921C69D5D2C5031986258DE209A442EE950AA88V3ICI" TargetMode = "External"/>
	<Relationship Id="rId30" Type="http://schemas.openxmlformats.org/officeDocument/2006/relationships/hyperlink" Target="consultantplus://offline/ref=D1543CCDAAAC6DA6BBF3C421806F90944B9134176EF0966D9BE0B8C3A4938526B77AD5B650D1B611D921C69D5C2C5031986258DE209A442EE950AA88V3ICI" TargetMode = "External"/>
	<Relationship Id="rId31" Type="http://schemas.openxmlformats.org/officeDocument/2006/relationships/hyperlink" Target="consultantplus://offline/ref=D1543CCDAAAC6DA6BBF3C421806F90944B9134176EF0966D9BE0B8C3A4938526B77AD5B650D1B611D921C695542C5031986258DE209A442EE950AA88V3ICI" TargetMode = "External"/>
	<Relationship Id="rId32" Type="http://schemas.openxmlformats.org/officeDocument/2006/relationships/hyperlink" Target="consultantplus://offline/ref=D1543CCDAAAC6DA6BBF3C421806F90944B9134176EF19D6D9CEEB8C3A4938526B77AD5B650D1B611D921C69C552C5031986258DE209A442EE950AA88V3ICI" TargetMode = "External"/>
	<Relationship Id="rId33" Type="http://schemas.openxmlformats.org/officeDocument/2006/relationships/hyperlink" Target="consultantplus://offline/ref=D1543CCDAAAC6DA6BBF3C421806F90944B9134176EF19D6D9CEEB8C3A4938526B77AD5B650D1B611D921C69C572C5031986258DE209A442EE950AA88V3ICI" TargetMode = "External"/>
	<Relationship Id="rId34" Type="http://schemas.openxmlformats.org/officeDocument/2006/relationships/hyperlink" Target="consultantplus://offline/ref=D1543CCDAAAC6DA6BBF3C421806F90944B9134176EF0966D9BE0B8C3A4938526B77AD5B650D1B611D921C695552C5031986258DE209A442EE950AA88V3ICI"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D1543CCDAAAC6DA6BBF3C421806F90944B9134176FF3926D90EFB8C3A4938526B77AD5B650D1B611D921C69D512C5031986258DE209A442EE950AA88V3ICI" TargetMode = "External"/>
	<Relationship Id="rId38" Type="http://schemas.openxmlformats.org/officeDocument/2006/relationships/hyperlink" Target="consultantplus://offline/ref=D1543CCDAAAC6DA6BBF3C421806F90944B9134176FF5916C9AE5B8C3A4938526B77AD5B650D1B611D921C69C562C5031986258DE209A442EE950AA88V3ICI" TargetMode = "External"/>
	<Relationship Id="rId39" Type="http://schemas.openxmlformats.org/officeDocument/2006/relationships/hyperlink" Target="consultantplus://offline/ref=D1543CCDAAAC6DA6BBF3C421806F90944B9134176FF69C629FE1B8C3A4938526B77AD5B650D1B611D921C69C532C5031986258DE209A442EE950AA88V3ICI" TargetMode = "External"/>
	<Relationship Id="rId40" Type="http://schemas.openxmlformats.org/officeDocument/2006/relationships/hyperlink" Target="consultantplus://offline/ref=D1543CCDAAAC6DA6BBF3C421806F90944B9134176FF7926C90E4B8C3A4938526B77AD5B650D1B611D921C699542C5031986258DE209A442EE950AA88V3ICI" TargetMode = "External"/>
	<Relationship Id="rId41" Type="http://schemas.openxmlformats.org/officeDocument/2006/relationships/hyperlink" Target="consultantplus://offline/ref=D1543CCDAAAC6DA6BBF3C421806F90944B9134176EF0966D9BE0B8C3A4938526B77AD5B650D1B611D921C695522C5031986258DE209A442EE950AA88V3ICI" TargetMode = "External"/>
	<Relationship Id="rId42" Type="http://schemas.openxmlformats.org/officeDocument/2006/relationships/hyperlink" Target="consultantplus://offline/ref=D1543CCDAAAC6DA6BBF3C421806F90944B9134176EF19D6D9CEEB8C3A4938526B77AD5B650D1B611D921C69C502C5031986258DE209A442EE950AA88V3ICI" TargetMode = "External"/>
	<Relationship Id="rId43" Type="http://schemas.openxmlformats.org/officeDocument/2006/relationships/hyperlink" Target="consultantplus://offline/ref=D1543CCDAAAC6DA6BBF3C421806F90944B9134176EF4976A9DEEB8C3A4938526B77AD5B650D1B611D921C69D512C5031986258DE209A442EE950AA88V3ICI" TargetMode = "External"/>
	<Relationship Id="rId44" Type="http://schemas.openxmlformats.org/officeDocument/2006/relationships/hyperlink" Target="consultantplus://offline/ref=D1543CCDAAAC6DA6BBF3C421806F90944B9134176EF19D6D9CEEB8C3A4938526B77AD5B650D1B611D921C69C512C5031986258DE209A442EE950AA88V3ICI" TargetMode = "External"/>
	<Relationship Id="rId45" Type="http://schemas.openxmlformats.org/officeDocument/2006/relationships/hyperlink" Target="consultantplus://offline/ref=D1543CCDAAAC6DA6BBF3DA2C9603CE9E4E986A1364F49F3CC5B3BE94FBC38373F73AD3E31395B916DC2A92CC10720962DB2955DF3986442FVFI4I" TargetMode = "External"/>
	<Relationship Id="rId46" Type="http://schemas.openxmlformats.org/officeDocument/2006/relationships/hyperlink" Target="consultantplus://offline/ref=D1543CCDAAAC6DA6BBF3DA2C9603CE9E4E986A1364F49F3CC5B3BE94FBC38373F73AD3E31395B912D92A92CC10720962DB2955DF3986442FVFI4I" TargetMode = "External"/>
	<Relationship Id="rId47" Type="http://schemas.openxmlformats.org/officeDocument/2006/relationships/hyperlink" Target="consultantplus://offline/ref=D1543CCDAAAC6DA6BBF3DA2C9603CE9E4E986A1364F49F3CC5B3BE94FBC38373F73AD3E31395B916DC2A92CC10720962DB2955DF3986442FVFI4I" TargetMode = "External"/>
	<Relationship Id="rId48" Type="http://schemas.openxmlformats.org/officeDocument/2006/relationships/hyperlink" Target="consultantplus://offline/ref=D1543CCDAAAC6DA6BBF3DA2C9603CE9E4E986A1364F49F3CC5B3BE94FBC38373F73AD3E31395B912D92A92CC10720962DB2955DF3986442FVFI4I" TargetMode = "External"/>
	<Relationship Id="rId49" Type="http://schemas.openxmlformats.org/officeDocument/2006/relationships/hyperlink" Target="consultantplus://offline/ref=D1543CCDAAAC6DA6BBF3DA2C9603CE9E4E986A1364F49F3CC5B3BE94FBC38373F73AD3E31395B916DC2A92CC10720962DB2955DF3986442FVFI4I" TargetMode = "External"/>
	<Relationship Id="rId50" Type="http://schemas.openxmlformats.org/officeDocument/2006/relationships/hyperlink" Target="consultantplus://offline/ref=D1543CCDAAAC6DA6BBF3DA2C9603CE9E4E986A1364F49F3CC5B3BE94FBC38373F73AD3E31395B912D92A92CC10720962DB2955DF3986442FVFI4I" TargetMode = "External"/>
	<Relationship Id="rId51" Type="http://schemas.openxmlformats.org/officeDocument/2006/relationships/hyperlink" Target="consultantplus://offline/ref=D1543CCDAAAC6DA6BBF3C421806F90944B9134176EF4976A9DEEB8C3A4938526B77AD5B650D1B611D921C69D522C5031986258DE209A442EE950AA88V3ICI" TargetMode = "External"/>
	<Relationship Id="rId52" Type="http://schemas.openxmlformats.org/officeDocument/2006/relationships/image" Target="media/image2.wmf"/>
	<Relationship Id="rId53" Type="http://schemas.openxmlformats.org/officeDocument/2006/relationships/image" Target="media/image3.wmf"/>
	<Relationship Id="rId54" Type="http://schemas.openxmlformats.org/officeDocument/2006/relationships/image" Target="media/image4.wmf"/>
	<Relationship Id="rId55" Type="http://schemas.openxmlformats.org/officeDocument/2006/relationships/hyperlink" Target="consultantplus://offline/ref=D1543CCDAAAC6DA6BBF3C421806F90944B9134176EF19D6D9CEEB8C3A4938526B77AD5B650D1B611D921C69C522C5031986258DE209A442EE950AA88V3ICI" TargetMode = "External"/>
	<Relationship Id="rId56" Type="http://schemas.openxmlformats.org/officeDocument/2006/relationships/hyperlink" Target="consultantplus://offline/ref=5D71ED153C82F10D5857C0CCA70BF5DAC8CEF0C92C5B18E79BC8C06950922EE3F7464FA3E01BBD20868F6E0B9EEEFB6DD79B329895AED399W8I8I" TargetMode = "External"/>
	<Relationship Id="rId57" Type="http://schemas.openxmlformats.org/officeDocument/2006/relationships/hyperlink" Target="consultantplus://offline/ref=5D71ED153C82F10D5857C0CCA70BF5DAC8CEF0C92C5B18E79BC8C06950922EE3F7464FA3E01BBD20868F6E0B9EEEFB6DD79B329895AED399W8I8I" TargetMode = "External"/>
	<Relationship Id="rId58" Type="http://schemas.openxmlformats.org/officeDocument/2006/relationships/hyperlink" Target="consultantplus://offline/ref=5D71ED153C82F10D5857C0CCA70BF5DACDC5F1CD2C5918E79BC8C06950922EE3F7464FA3E01BBD20858F6E0B9EEEFB6DD79B329895AED399W8I8I" TargetMode = "External"/>
	<Relationship Id="rId59" Type="http://schemas.openxmlformats.org/officeDocument/2006/relationships/hyperlink" Target="consultantplus://offline/ref=5D71ED153C82F10D5857C0CCA70BF5DAC8CEF0C92C5B18E79BC8C06950922EE3F7464FA3E01BBD20868F6E0B9EEEFB6DD79B329895AED399W8I8I" TargetMode = "External"/>
	<Relationship Id="rId60" Type="http://schemas.openxmlformats.org/officeDocument/2006/relationships/hyperlink" Target="consultantplus://offline/ref=5D71ED153C82F10D5857C0CCA70BF5DAC8CEF0C92C5B18E79BC8C06950922EE3F7464FA3E01BBD20868F6E0B9EEEFB6DD79B329895AED399W8I8I" TargetMode = "External"/>
	<Relationship Id="rId61" Type="http://schemas.openxmlformats.org/officeDocument/2006/relationships/hyperlink" Target="consultantplus://offline/ref=5D71ED153C82F10D5857C0CCA70BF5DAC8CEF0C4225F18E79BC8C06950922EE3F7464FA3E01BBF27818F6E0B9EEEFB6DD79B329895AED399W8I8I" TargetMode = "External"/>
	<Relationship Id="rId62" Type="http://schemas.openxmlformats.org/officeDocument/2006/relationships/hyperlink" Target="consultantplus://offline/ref=5D71ED153C82F10D5857C0CCA70BF5DAC8CEF0C4225F18E79BC8C06950922EE3F7464FA3E01BBF23848F6E0B9EEEFB6DD79B329895AED399W8I8I" TargetMode = "External"/>
	<Relationship Id="rId63" Type="http://schemas.openxmlformats.org/officeDocument/2006/relationships/hyperlink" Target="consultantplus://offline/ref=5D71ED153C82F10D5857C0CCA70BF5DAC8CEF0C4225F18E79BC8C06950922EE3F7464FA3E01BBF27818F6E0B9EEEFB6DD79B329895AED399W8I8I" TargetMode = "External"/>
	<Relationship Id="rId64" Type="http://schemas.openxmlformats.org/officeDocument/2006/relationships/hyperlink" Target="consultantplus://offline/ref=5D71ED153C82F10D5857C0CCA70BF5DAC8CEF0C4225F18E79BC8C06950922EE3F7464FA3E01BBF23848F6E0B9EEEFB6DD79B329895AED399W8I8I" TargetMode = "External"/>
	<Relationship Id="rId65" Type="http://schemas.openxmlformats.org/officeDocument/2006/relationships/hyperlink" Target="consultantplus://offline/ref=5D71ED153C82F10D5857C0CCA70BF5DAC8CEF0C4225F18E79BC8C06950922EE3F7464FA3E01BBF27818F6E0B9EEEFB6DD79B329895AED399W8I8I" TargetMode = "External"/>
	<Relationship Id="rId66" Type="http://schemas.openxmlformats.org/officeDocument/2006/relationships/hyperlink" Target="consultantplus://offline/ref=5D71ED153C82F10D5857C0CCA70BF5DAC8CEF0C4225F18E79BC8C06950922EE3F7464FA3E01BBF23848F6E0B9EEEFB6DD79B329895AED399W8I8I" TargetMode = "External"/>
	<Relationship Id="rId67" Type="http://schemas.openxmlformats.org/officeDocument/2006/relationships/hyperlink" Target="consultantplus://offline/ref=5D71ED153C82F10D5857DEC1B167ABD0CDC7AEC0285813B6CF94C63E0FC228B6B70649F6B15FE82C8683245AD9A5F46FD2W8I6I" TargetMode = "External"/>
	<Relationship Id="rId68" Type="http://schemas.openxmlformats.org/officeDocument/2006/relationships/hyperlink" Target="consultantplus://offline/ref=5D71ED153C82F10D5857C0CCA70BF5DAC8CEF0C92C5B18E79BC8C06950922EE3F7464FA3E01BBD20868F6E0B9EEEFB6DD79B329895AED399W8I8I" TargetMode = "External"/>
	<Relationship Id="rId69" Type="http://schemas.openxmlformats.org/officeDocument/2006/relationships/hyperlink" Target="consultantplus://offline/ref=5D71ED153C82F10D5857DEC1B167ABD0CDC7AEC0285B11B6C59BC63E0FC228B6B70649F6A35FB02084843A53DCB0A23E94D03F998CB2D39895F439FEW5IEI" TargetMode = "External"/>
	<Relationship Id="rId70" Type="http://schemas.openxmlformats.org/officeDocument/2006/relationships/hyperlink" Target="consultantplus://offline/ref=5D71ED153C82F10D5857DEC1B167ABD0CDC7AEC0285A1AB6C295C63E0FC228B6B70649F6A35FB02084843A5BDDB0A23E94D03F998CB2D39895F439FEW5I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29.12.2017 N 1033-ПП
(ред. от 15.12.2022)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(с изм. и доп., вступающими в силу с 01.01.2023)</dc:title>
  <dcterms:created xsi:type="dcterms:W3CDTF">2023-03-27T08:08:20Z</dcterms:created>
</cp:coreProperties>
</file>