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923222" w:rsidRDefault="00B048F9" w:rsidP="00923222">
            <w:pPr>
              <w:widowControl w:val="0"/>
              <w:ind w:firstLine="709"/>
              <w:jc w:val="both"/>
              <w:rPr>
                <w:szCs w:val="28"/>
              </w:rPr>
            </w:pPr>
            <w:r w:rsidRPr="00B048F9">
              <w:rPr>
                <w:szCs w:val="28"/>
              </w:rPr>
              <w:t xml:space="preserve">Административный регламент предоставления Министерством по управлению государственным имуществом Свердловской области государственной услуги по </w:t>
            </w:r>
            <w:r w:rsidR="00923222" w:rsidRPr="00923222">
              <w:rPr>
                <w:szCs w:val="28"/>
              </w:rPr>
              <w:t>заключению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</w:t>
            </w:r>
            <w:r w:rsidR="00923222">
              <w:rPr>
                <w:szCs w:val="28"/>
              </w:rPr>
              <w:t xml:space="preserve"> </w:t>
            </w:r>
            <w:r w:rsidR="00923222" w:rsidRPr="00923222">
              <w:rPr>
                <w:szCs w:val="28"/>
              </w:rPr>
              <w:t>на которые не разграничена, на территории муниципального образования «город Екатеринбург»</w:t>
            </w:r>
            <w:r w:rsidR="00923222">
              <w:rPr>
                <w:szCs w:val="28"/>
              </w:rPr>
              <w:t>;</w:t>
            </w:r>
          </w:p>
          <w:p w:rsidR="00923222" w:rsidRPr="00923222" w:rsidRDefault="00923222" w:rsidP="00923222">
            <w:pPr>
              <w:widowControl w:val="0"/>
              <w:ind w:firstLine="709"/>
              <w:jc w:val="both"/>
              <w:rPr>
                <w:szCs w:val="28"/>
              </w:rPr>
            </w:pPr>
            <w:r w:rsidRPr="00923222">
              <w:rPr>
                <w:szCs w:val="28"/>
              </w:rPr>
              <w:t xml:space="preserve">Административный регламент предоставления Министерством </w:t>
            </w:r>
            <w:r w:rsidRPr="00923222">
              <w:rPr>
                <w:szCs w:val="28"/>
              </w:rPr>
              <w:br/>
              <w:t xml:space="preserve">по управлению государственным имуществом Свердловской области </w:t>
            </w:r>
            <w:r w:rsidRPr="00923222">
              <w:rPr>
                <w:szCs w:val="28"/>
              </w:rPr>
              <w:br/>
              <w:t>государственной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находящихся в государственной собственности</w:t>
            </w:r>
            <w:r>
              <w:rPr>
                <w:szCs w:val="28"/>
              </w:rPr>
              <w:t xml:space="preserve"> </w:t>
            </w:r>
            <w:r w:rsidRPr="00923222">
              <w:rPr>
                <w:szCs w:val="28"/>
              </w:rPr>
              <w:t>Свердловской области</w:t>
            </w:r>
            <w:r>
              <w:rPr>
                <w:szCs w:val="28"/>
              </w:rPr>
              <w:t>.</w:t>
            </w:r>
          </w:p>
          <w:p w:rsidR="000E2FC5" w:rsidRPr="00841C09" w:rsidRDefault="000E2FC5" w:rsidP="00B048F9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B048F9">
              <w:rPr>
                <w:szCs w:val="28"/>
              </w:rPr>
              <w:t>март</w:t>
            </w:r>
            <w:r w:rsidRPr="00841C09">
              <w:rPr>
                <w:bCs/>
                <w:szCs w:val="28"/>
              </w:rPr>
              <w:t xml:space="preserve"> 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CA1775">
              <w:rPr>
                <w:szCs w:val="28"/>
              </w:rPr>
              <w:t>Денисова Ольга Николаевна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CA1775">
              <w:rPr>
                <w:szCs w:val="28"/>
              </w:rPr>
              <w:t>заместитель начальника отдела по работе с земельными участками, собственность на которые не разграничена департамента земельных отношений 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312-00-28 (481)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hyperlink r:id="rId7" w:history="1">
              <w:r w:rsidR="000A39AE" w:rsidRPr="001A5797">
                <w:rPr>
                  <w:rStyle w:val="a7"/>
                  <w:szCs w:val="28"/>
                  <w:lang w:val="en-US"/>
                </w:rPr>
                <w:t>olga</w:t>
              </w:r>
              <w:r w:rsidR="000A39AE" w:rsidRPr="001A5797">
                <w:rPr>
                  <w:rStyle w:val="a7"/>
                  <w:szCs w:val="28"/>
                </w:rPr>
                <w:t>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denisova</w:t>
              </w:r>
              <w:r w:rsidR="000A39AE" w:rsidRPr="001A5797">
                <w:rPr>
                  <w:rStyle w:val="a7"/>
                  <w:szCs w:val="28"/>
                </w:rPr>
                <w:t>@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egov</w:t>
              </w:r>
              <w:r w:rsidR="000A39AE" w:rsidRPr="001A5797">
                <w:rPr>
                  <w:rStyle w:val="a7"/>
                  <w:szCs w:val="28"/>
                </w:rPr>
                <w:t>66.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0A39AE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Количество календарных дней: 10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Степень регулирующего воздействия проекта акта (высокая/средняя/низкая): низкая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Обоснование отнесения проекта акта к определенной степени регулирующего воздействия: проект акта не содержит положений, </w:t>
            </w:r>
            <w:r w:rsidRPr="00841C09">
              <w:rPr>
                <w:szCs w:val="28"/>
              </w:rPr>
              <w:lastRenderedPageBreak/>
              <w:t>устанавливающих ранее не предусмотренных законодательством обязанностей, запретов и ограничений, а также изменяющих ранее предусмотренных законодательством обязанностей, запретов и ограничений для физических и юридических лиц в сфере предпринимательской и инвестиционной деятельности. Регламентируемые обязанности предусмотрены федеральными нормативными правовыми актами.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93289" w:rsidRDefault="00193289" w:rsidP="000B594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Разработка административных регламентов вызвана </w:t>
            </w:r>
            <w:r w:rsidR="000A39AE">
              <w:rPr>
                <w:szCs w:val="28"/>
              </w:rPr>
              <w:t xml:space="preserve">несовершенством </w:t>
            </w:r>
            <w:r>
              <w:rPr>
                <w:szCs w:val="28"/>
              </w:rPr>
              <w:t xml:space="preserve">и отсутствием схем </w:t>
            </w:r>
            <w:r w:rsidR="000A39AE">
              <w:rPr>
                <w:szCs w:val="28"/>
              </w:rPr>
              <w:t xml:space="preserve">предоставления государственных услуг </w:t>
            </w:r>
            <w:r w:rsidR="00923222">
              <w:rPr>
                <w:szCs w:val="28"/>
              </w:rPr>
              <w:t xml:space="preserve">по </w:t>
            </w:r>
            <w:r w:rsidR="00923222" w:rsidRPr="00923222">
              <w:rPr>
                <w:szCs w:val="28"/>
              </w:rPr>
              <w:t>заключению договора на размещение нестационарных торговых объектов, установку и эксплуатацию рекламных конструкций на земельных участках, находящихся в государственной собственности Свердловской области</w:t>
            </w:r>
            <w:r w:rsidR="00923222">
              <w:rPr>
                <w:szCs w:val="28"/>
              </w:rPr>
              <w:t xml:space="preserve">, и на </w:t>
            </w:r>
            <w:r>
              <w:rPr>
                <w:szCs w:val="28"/>
              </w:rPr>
              <w:t>земельных участк</w:t>
            </w:r>
            <w:r w:rsidR="00923222">
              <w:rPr>
                <w:szCs w:val="28"/>
              </w:rPr>
              <w:t>ах</w:t>
            </w:r>
            <w:r>
              <w:rPr>
                <w:szCs w:val="28"/>
              </w:rPr>
              <w:t xml:space="preserve">, </w:t>
            </w:r>
            <w:r w:rsidRPr="00B048F9">
              <w:rPr>
                <w:szCs w:val="28"/>
              </w:rPr>
              <w:t>государственная собственность на которые не разграничена, на территории муниципального о</w:t>
            </w:r>
            <w:r w:rsidR="00923222">
              <w:rPr>
                <w:szCs w:val="28"/>
              </w:rPr>
              <w:t>бразования «город Екатеринбург»</w:t>
            </w:r>
            <w:r>
              <w:rPr>
                <w:szCs w:val="28"/>
              </w:rPr>
              <w:t>.</w:t>
            </w:r>
          </w:p>
          <w:p w:rsidR="00193289" w:rsidRDefault="00193289" w:rsidP="000B594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Учитывая то обстоятельство, что земельные участки могут быть предоставлены Министерством либо из земельных участков, </w:t>
            </w:r>
            <w:r w:rsidRPr="00B048F9">
              <w:rPr>
                <w:szCs w:val="28"/>
              </w:rPr>
              <w:t xml:space="preserve">государственная собственность на которые не разграничена, на территории муниципального образования «город Екатеринбург», </w:t>
            </w:r>
            <w:r>
              <w:rPr>
                <w:szCs w:val="28"/>
              </w:rPr>
              <w:t xml:space="preserve">либо из земельных участков, </w:t>
            </w:r>
            <w:r w:rsidRPr="00B048F9">
              <w:rPr>
                <w:szCs w:val="28"/>
              </w:rPr>
              <w:t>находящихся в государственной собственности Свердловской области</w:t>
            </w:r>
            <w:r>
              <w:rPr>
                <w:szCs w:val="28"/>
              </w:rPr>
              <w:t xml:space="preserve">, Министерством разработано 2 административных регламента, предусматривающие одинаковые процедуры </w:t>
            </w:r>
            <w:r w:rsidR="00923222">
              <w:rPr>
                <w:szCs w:val="28"/>
              </w:rPr>
              <w:t>передачи</w:t>
            </w:r>
            <w:r>
              <w:rPr>
                <w:szCs w:val="28"/>
              </w:rPr>
              <w:t xml:space="preserve"> земельных участков.</w:t>
            </w:r>
          </w:p>
          <w:p w:rsidR="00C17ABD" w:rsidRPr="00923222" w:rsidRDefault="00C17ABD" w:rsidP="000B594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 xml:space="preserve">Таким образом, разработка и принятие </w:t>
            </w:r>
            <w:r>
              <w:rPr>
                <w:bCs/>
                <w:kern w:val="32"/>
                <w:szCs w:val="28"/>
              </w:rPr>
              <w:t>а</w:t>
            </w:r>
            <w:r w:rsidRPr="00841C09">
              <w:rPr>
                <w:bCs/>
                <w:kern w:val="32"/>
                <w:szCs w:val="28"/>
              </w:rPr>
              <w:t>дминистративн</w:t>
            </w:r>
            <w:r>
              <w:rPr>
                <w:bCs/>
                <w:kern w:val="32"/>
                <w:szCs w:val="28"/>
              </w:rPr>
              <w:t>ых</w:t>
            </w:r>
            <w:r w:rsidRPr="00841C09">
              <w:rPr>
                <w:bCs/>
                <w:kern w:val="32"/>
                <w:szCs w:val="28"/>
              </w:rPr>
              <w:t xml:space="preserve"> регламент</w:t>
            </w:r>
            <w:r>
              <w:rPr>
                <w:bCs/>
                <w:kern w:val="32"/>
                <w:szCs w:val="28"/>
              </w:rPr>
              <w:t>ов</w:t>
            </w:r>
            <w:r w:rsidRPr="00841C09">
              <w:rPr>
                <w:bCs/>
                <w:kern w:val="32"/>
                <w:szCs w:val="28"/>
              </w:rPr>
              <w:t xml:space="preserve"> призвано упорядочить процедуру </w:t>
            </w:r>
            <w:r w:rsidR="00923222" w:rsidRPr="00923222">
              <w:rPr>
                <w:szCs w:val="28"/>
              </w:rPr>
              <w:t>заключени</w:t>
            </w:r>
            <w:r w:rsidR="00923222">
              <w:rPr>
                <w:szCs w:val="28"/>
              </w:rPr>
              <w:t>я</w:t>
            </w:r>
            <w:r w:rsidR="00923222" w:rsidRPr="00923222">
              <w:rPr>
                <w:szCs w:val="28"/>
              </w:rPr>
              <w:t xml:space="preserve"> договор</w:t>
            </w:r>
            <w:r w:rsidR="00923222">
              <w:rPr>
                <w:szCs w:val="28"/>
              </w:rPr>
              <w:t>ов</w:t>
            </w:r>
            <w:r w:rsidR="00923222" w:rsidRPr="00923222">
              <w:rPr>
                <w:szCs w:val="28"/>
              </w:rPr>
              <w:t xml:space="preserve"> на размещение нестационарных торговых объектов, установку и эксплуатацию рекламных конструкций на земельных участках, находящихся в государственной собственности Свердловской области</w:t>
            </w:r>
            <w:r w:rsidR="00923222">
              <w:rPr>
                <w:szCs w:val="28"/>
              </w:rPr>
              <w:t xml:space="preserve">, и на земельных участках, </w:t>
            </w:r>
            <w:r w:rsidR="00923222" w:rsidRPr="00B048F9">
              <w:rPr>
                <w:szCs w:val="28"/>
              </w:rPr>
              <w:t>государственная собственность на которые не разграничена, на территории муниципального о</w:t>
            </w:r>
            <w:r w:rsidR="00923222">
              <w:rPr>
                <w:szCs w:val="28"/>
              </w:rPr>
              <w:t>бразования «город Екатеринбург»</w:t>
            </w:r>
            <w:r>
              <w:rPr>
                <w:szCs w:val="28"/>
              </w:rPr>
              <w:t>,</w:t>
            </w:r>
            <w:r w:rsidRPr="00841C09">
              <w:rPr>
                <w:bCs/>
                <w:kern w:val="32"/>
                <w:szCs w:val="28"/>
              </w:rPr>
              <w:t xml:space="preserve"> определить последовательность и продолжительность административных процедур.</w:t>
            </w:r>
            <w:proofErr w:type="gramEnd"/>
          </w:p>
          <w:p w:rsidR="000A39AE" w:rsidRDefault="00C17ABD" w:rsidP="000B594F">
            <w:pPr>
              <w:spacing w:beforeLines="20" w:afterLines="20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Принятие административных регламентов позволит</w:t>
            </w:r>
            <w:r w:rsidR="00193289">
              <w:rPr>
                <w:szCs w:val="28"/>
              </w:rPr>
              <w:t xml:space="preserve"> минимизирова</w:t>
            </w:r>
            <w:r>
              <w:rPr>
                <w:szCs w:val="28"/>
              </w:rPr>
              <w:t>ть</w:t>
            </w:r>
            <w:r w:rsidR="00193289">
              <w:rPr>
                <w:szCs w:val="28"/>
              </w:rPr>
              <w:t xml:space="preserve"> коррупционны</w:t>
            </w:r>
            <w:r>
              <w:rPr>
                <w:szCs w:val="28"/>
              </w:rPr>
              <w:t>е</w:t>
            </w:r>
            <w:r w:rsidR="00193289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и</w:t>
            </w:r>
            <w:r w:rsidR="00193289">
              <w:rPr>
                <w:szCs w:val="28"/>
              </w:rPr>
              <w:t>, оптимиз</w:t>
            </w:r>
            <w:r>
              <w:rPr>
                <w:szCs w:val="28"/>
              </w:rPr>
              <w:t>ировать</w:t>
            </w:r>
            <w:r w:rsidR="00193289">
              <w:rPr>
                <w:szCs w:val="28"/>
              </w:rPr>
              <w:t xml:space="preserve"> процедур</w:t>
            </w:r>
            <w:r>
              <w:rPr>
                <w:szCs w:val="28"/>
              </w:rPr>
              <w:t>у</w:t>
            </w:r>
            <w:r w:rsidR="00193289">
              <w:rPr>
                <w:szCs w:val="28"/>
              </w:rPr>
              <w:t xml:space="preserve"> </w:t>
            </w:r>
            <w:r w:rsidR="00923222">
              <w:rPr>
                <w:szCs w:val="28"/>
              </w:rPr>
              <w:t xml:space="preserve">и установить более прозрачную схему </w:t>
            </w:r>
            <w:r w:rsidR="00193289">
              <w:rPr>
                <w:szCs w:val="28"/>
              </w:rPr>
              <w:t xml:space="preserve">предоставления </w:t>
            </w:r>
            <w:r w:rsidR="00923222">
              <w:rPr>
                <w:szCs w:val="28"/>
              </w:rPr>
              <w:t>государственной услуги.</w:t>
            </w:r>
          </w:p>
          <w:p w:rsidR="00CB751F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>Негативные эффекты, возникающие в связи с наличием проблемы: отсутствуют.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Вместе с тем</w:t>
            </w:r>
            <w:r>
              <w:rPr>
                <w:szCs w:val="28"/>
              </w:rPr>
              <w:t>,</w:t>
            </w:r>
            <w:r w:rsidRPr="00841C09">
              <w:rPr>
                <w:szCs w:val="28"/>
              </w:rPr>
              <w:t xml:space="preserve"> принятие </w:t>
            </w:r>
            <w:r w:rsidR="00CB751F">
              <w:rPr>
                <w:szCs w:val="28"/>
              </w:rPr>
              <w:t>административных регламентов</w:t>
            </w:r>
            <w:r w:rsidRPr="00841C09">
              <w:rPr>
                <w:szCs w:val="28"/>
              </w:rPr>
              <w:t xml:space="preserve"> обеспечит оптимизацию деятельности </w:t>
            </w:r>
            <w:r w:rsidR="00CB751F">
              <w:rPr>
                <w:szCs w:val="28"/>
              </w:rPr>
              <w:t>Министерства по управлению государственным имуществом</w:t>
            </w:r>
            <w:r>
              <w:rPr>
                <w:szCs w:val="28"/>
              </w:rPr>
              <w:t xml:space="preserve"> Свердловской области, а также взаимодействия с </w:t>
            </w:r>
            <w:r w:rsidR="00923222">
              <w:rPr>
                <w:szCs w:val="28"/>
              </w:rPr>
              <w:t>физическими и юридическими лицами</w:t>
            </w:r>
            <w:r w:rsidR="00CB751F">
              <w:rPr>
                <w:szCs w:val="28"/>
              </w:rPr>
              <w:t>.</w:t>
            </w:r>
          </w:p>
          <w:p w:rsidR="000E2FC5" w:rsidRPr="00841C09" w:rsidRDefault="000E2FC5" w:rsidP="00672E69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proofErr w:type="gramStart"/>
            <w:r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</w:t>
            </w:r>
            <w:r w:rsidRPr="00841C09">
              <w:rPr>
                <w:szCs w:val="28"/>
              </w:rPr>
              <w:lastRenderedPageBreak/>
              <w:t xml:space="preserve">результатах решения проблемы: </w:t>
            </w:r>
            <w:r w:rsidR="00260975">
              <w:rPr>
                <w:szCs w:val="28"/>
              </w:rPr>
              <w:t>возникновение проблемы связано с принятием федерального законодательства</w:t>
            </w:r>
            <w:r w:rsidR="00672E69">
              <w:rPr>
                <w:szCs w:val="28"/>
              </w:rPr>
              <w:t>:</w:t>
            </w:r>
            <w:r w:rsidR="00260975" w:rsidRPr="00260975">
              <w:rPr>
                <w:szCs w:val="28"/>
              </w:rPr>
              <w:t xml:space="preserve"> федеральны</w:t>
            </w:r>
            <w:r w:rsidR="00672E69">
              <w:rPr>
                <w:szCs w:val="28"/>
              </w:rPr>
              <w:t>ми</w:t>
            </w:r>
            <w:r w:rsidR="00260975" w:rsidRPr="00260975">
              <w:rPr>
                <w:szCs w:val="28"/>
              </w:rPr>
              <w:t xml:space="preserve"> закон</w:t>
            </w:r>
            <w:r w:rsidR="00672E69">
              <w:rPr>
                <w:szCs w:val="28"/>
              </w:rPr>
              <w:t xml:space="preserve">ами </w:t>
            </w:r>
            <w:r w:rsidR="00260975" w:rsidRPr="00260975">
              <w:rPr>
                <w:szCs w:val="28"/>
              </w:rPr>
              <w:t xml:space="preserve">от 23.06.2014 </w:t>
            </w:r>
            <w:hyperlink r:id="rId8" w:history="1">
              <w:r w:rsidR="00260975" w:rsidRPr="00260975">
                <w:rPr>
                  <w:szCs w:val="28"/>
                </w:rPr>
                <w:t>№ 171-ФЗ</w:t>
              </w:r>
            </w:hyperlink>
            <w:r w:rsidR="00260975" w:rsidRPr="00260975">
              <w:rPr>
                <w:szCs w:val="28"/>
              </w:rPr>
              <w:t xml:space="preserve">, от 21.07.2014 </w:t>
            </w:r>
            <w:hyperlink r:id="rId9" w:history="1">
              <w:r w:rsidR="00260975" w:rsidRPr="00260975">
                <w:rPr>
                  <w:szCs w:val="28"/>
                </w:rPr>
                <w:t>№ 217-ФЗ</w:t>
              </w:r>
            </w:hyperlink>
            <w:r w:rsidR="00260975" w:rsidRPr="00260975">
              <w:rPr>
                <w:szCs w:val="28"/>
              </w:rPr>
              <w:t xml:space="preserve">, от 21.07.2014 </w:t>
            </w:r>
            <w:hyperlink r:id="rId10" w:history="1">
              <w:r w:rsidR="00260975" w:rsidRPr="00260975">
                <w:rPr>
                  <w:szCs w:val="28"/>
                </w:rPr>
                <w:t>№ 224-ФЗ</w:t>
              </w:r>
            </w:hyperlink>
            <w:r w:rsidR="00260975" w:rsidRPr="00260975">
              <w:rPr>
                <w:szCs w:val="28"/>
              </w:rPr>
              <w:t xml:space="preserve">, от 21.07.2014 </w:t>
            </w:r>
            <w:hyperlink r:id="rId11" w:history="1">
              <w:r w:rsidR="00260975" w:rsidRPr="00260975">
                <w:rPr>
                  <w:szCs w:val="28"/>
                </w:rPr>
                <w:t>№ 234-ФЗ</w:t>
              </w:r>
            </w:hyperlink>
            <w:r w:rsidR="00260975" w:rsidRPr="00260975">
              <w:rPr>
                <w:szCs w:val="28"/>
              </w:rPr>
              <w:t xml:space="preserve">, от 22.10.2014 </w:t>
            </w:r>
            <w:hyperlink r:id="rId12" w:history="1">
              <w:r w:rsidR="00260975" w:rsidRPr="00260975">
                <w:rPr>
                  <w:szCs w:val="28"/>
                </w:rPr>
                <w:t>№ 315-ФЗ</w:t>
              </w:r>
            </w:hyperlink>
            <w:r w:rsidR="00260975" w:rsidRPr="00260975">
              <w:rPr>
                <w:szCs w:val="28"/>
              </w:rPr>
              <w:t xml:space="preserve">, от 29.12.2014 </w:t>
            </w:r>
            <w:hyperlink r:id="rId13" w:history="1">
              <w:r w:rsidR="00260975" w:rsidRPr="00260975">
                <w:rPr>
                  <w:szCs w:val="28"/>
                </w:rPr>
                <w:t>№ 458-ФЗ</w:t>
              </w:r>
            </w:hyperlink>
            <w:r w:rsidR="00260975" w:rsidRPr="00260975">
              <w:rPr>
                <w:szCs w:val="28"/>
              </w:rPr>
              <w:t xml:space="preserve">, от 29.12.2014 </w:t>
            </w:r>
            <w:hyperlink r:id="rId14" w:history="1">
              <w:r w:rsidR="00260975" w:rsidRPr="00260975">
                <w:rPr>
                  <w:szCs w:val="28"/>
                </w:rPr>
                <w:t>№ 485-ФЗ</w:t>
              </w:r>
            </w:hyperlink>
            <w:r w:rsidR="00260975" w:rsidRPr="00260975">
              <w:rPr>
                <w:szCs w:val="28"/>
              </w:rPr>
              <w:t xml:space="preserve">, </w:t>
            </w:r>
            <w:r w:rsidR="00260975" w:rsidRPr="00260975">
              <w:rPr>
                <w:szCs w:val="28"/>
              </w:rPr>
              <w:br/>
              <w:t xml:space="preserve">от 29.12.2014 </w:t>
            </w:r>
            <w:hyperlink r:id="rId15" w:history="1">
              <w:r w:rsidR="00260975" w:rsidRPr="00260975">
                <w:rPr>
                  <w:szCs w:val="28"/>
                </w:rPr>
                <w:t>№ 487-ФЗ</w:t>
              </w:r>
            </w:hyperlink>
            <w:r w:rsidR="00260975" w:rsidRPr="00260975">
              <w:rPr>
                <w:szCs w:val="28"/>
              </w:rPr>
              <w:t xml:space="preserve">, от 31.12.2014 </w:t>
            </w:r>
            <w:hyperlink r:id="rId16" w:history="1">
              <w:r w:rsidR="00260975" w:rsidRPr="00260975">
                <w:rPr>
                  <w:szCs w:val="28"/>
                </w:rPr>
                <w:t>№ 499-ФЗ</w:t>
              </w:r>
            </w:hyperlink>
            <w:r w:rsidR="00260975" w:rsidRPr="00260975">
              <w:rPr>
                <w:szCs w:val="28"/>
              </w:rPr>
              <w:t xml:space="preserve"> внесены изменения в отдельные</w:t>
            </w:r>
            <w:proofErr w:type="gramEnd"/>
            <w:r w:rsidR="00260975" w:rsidRPr="00260975">
              <w:rPr>
                <w:szCs w:val="28"/>
              </w:rPr>
              <w:t xml:space="preserve"> Федеральные законы, в том числе Земельный кодекс РФ.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Источники данных:</w:t>
            </w:r>
            <w:r>
              <w:rPr>
                <w:szCs w:val="28"/>
              </w:rPr>
              <w:t xml:space="preserve"> </w:t>
            </w:r>
            <w:r w:rsidR="00CB751F">
              <w:rPr>
                <w:szCs w:val="28"/>
              </w:rPr>
              <w:t>Земельный</w:t>
            </w:r>
            <w:r>
              <w:rPr>
                <w:szCs w:val="28"/>
              </w:rPr>
              <w:t xml:space="preserve">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,</w:t>
            </w:r>
            <w:r w:rsidR="00CB751F">
              <w:rPr>
                <w:szCs w:val="28"/>
              </w:rPr>
              <w:t xml:space="preserve"> Гражданский кодекс</w:t>
            </w:r>
            <w:r w:rsidR="00CB751F" w:rsidRPr="00841C09">
              <w:rPr>
                <w:szCs w:val="28"/>
              </w:rPr>
              <w:t xml:space="preserve"> Российской Федерации</w:t>
            </w:r>
            <w:r w:rsidR="00CB751F">
              <w:rPr>
                <w:szCs w:val="28"/>
              </w:rPr>
              <w:t>,</w:t>
            </w:r>
            <w:r w:rsidR="005A71AE">
              <w:rPr>
                <w:szCs w:val="28"/>
              </w:rPr>
              <w:t xml:space="preserve"> </w:t>
            </w:r>
            <w:r w:rsidR="005A71AE" w:rsidRPr="005A71AE">
              <w:rPr>
                <w:szCs w:val="28"/>
              </w:rPr>
              <w:t>Федеральный закон от 28</w:t>
            </w:r>
            <w:r w:rsidR="005A71AE">
              <w:rPr>
                <w:szCs w:val="28"/>
              </w:rPr>
              <w:t xml:space="preserve"> декабря </w:t>
            </w:r>
            <w:r w:rsidR="005A71AE" w:rsidRPr="005A71AE">
              <w:rPr>
                <w:szCs w:val="28"/>
              </w:rPr>
              <w:t xml:space="preserve">2009 </w:t>
            </w:r>
            <w:r w:rsidR="005A71AE">
              <w:rPr>
                <w:szCs w:val="28"/>
              </w:rPr>
              <w:t>года № 381-ФЗ «</w:t>
            </w:r>
            <w:r w:rsidR="005A71AE" w:rsidRPr="005A71AE">
              <w:rPr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5A71AE">
              <w:rPr>
                <w:szCs w:val="28"/>
              </w:rPr>
              <w:t xml:space="preserve">», </w:t>
            </w:r>
            <w:r w:rsidR="005A71AE" w:rsidRPr="005A71AE">
              <w:rPr>
                <w:szCs w:val="28"/>
              </w:rPr>
              <w:t>Федеральный закон от 13</w:t>
            </w:r>
            <w:r w:rsidR="005A71AE">
              <w:rPr>
                <w:szCs w:val="28"/>
              </w:rPr>
              <w:t xml:space="preserve"> марта </w:t>
            </w:r>
            <w:r w:rsidR="005A71AE" w:rsidRPr="005A71AE">
              <w:rPr>
                <w:szCs w:val="28"/>
              </w:rPr>
              <w:t xml:space="preserve">2006 </w:t>
            </w:r>
            <w:r w:rsidR="005A71AE">
              <w:rPr>
                <w:szCs w:val="28"/>
              </w:rPr>
              <w:t>года № 38-ФЗ «</w:t>
            </w:r>
            <w:r w:rsidR="005A71AE" w:rsidRPr="005A71AE">
              <w:rPr>
                <w:szCs w:val="28"/>
              </w:rPr>
              <w:t>О рекламе</w:t>
            </w:r>
            <w:r w:rsidR="005A71AE">
              <w:rPr>
                <w:szCs w:val="28"/>
              </w:rPr>
              <w:t>».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  <w:r w:rsidR="005A71AE">
              <w:rPr>
                <w:szCs w:val="28"/>
              </w:rPr>
              <w:t>Московская область</w:t>
            </w:r>
            <w:r>
              <w:rPr>
                <w:szCs w:val="28"/>
              </w:rPr>
              <w:t xml:space="preserve"> и иные субъекты Российской Федерации.</w:t>
            </w:r>
          </w:p>
          <w:p w:rsidR="000E2FC5" w:rsidRPr="00841C09" w:rsidRDefault="000E2FC5" w:rsidP="005A71AE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0E2FC5" w:rsidRPr="000D1520" w:rsidRDefault="005A71AE" w:rsidP="005A71AE">
            <w:pPr>
              <w:pStyle w:val="a6"/>
              <w:ind w:firstLine="709"/>
              <w:jc w:val="both"/>
              <w:rPr>
                <w:szCs w:val="28"/>
              </w:rPr>
            </w:pPr>
            <w:proofErr w:type="gramStart"/>
            <w:r w:rsidRPr="005A71AE">
              <w:rPr>
                <w:szCs w:val="28"/>
              </w:rPr>
              <w:t>Постановление главы Подольского муниципального района М</w:t>
            </w:r>
            <w:r>
              <w:rPr>
                <w:szCs w:val="28"/>
              </w:rPr>
              <w:t>осковской области</w:t>
            </w:r>
            <w:r w:rsidRPr="005A71AE">
              <w:rPr>
                <w:szCs w:val="28"/>
              </w:rPr>
              <w:t xml:space="preserve"> от 05.12.2014 </w:t>
            </w:r>
            <w:r>
              <w:rPr>
                <w:szCs w:val="28"/>
              </w:rPr>
              <w:t>№ 1616 «</w:t>
            </w:r>
            <w:r w:rsidRPr="005A71AE">
              <w:rPr>
                <w:szCs w:val="28"/>
              </w:rPr>
              <w:t>Об утверждении административного регламента по предоставлению муниципальной услуги "Заключение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и земельных участках, государственная собственность на которые не разграничена", предоставляемой в Подольском муниципальном районе Московской области</w:t>
            </w:r>
            <w:r>
              <w:rPr>
                <w:szCs w:val="28"/>
              </w:rPr>
              <w:t>»</w:t>
            </w:r>
            <w:proofErr w:type="gramEnd"/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0E2FC5" w:rsidRPr="00841C09" w:rsidRDefault="000E2FC5" w:rsidP="005A71AE">
            <w:pPr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  <w:r w:rsidR="005A71AE" w:rsidRPr="000F576F">
              <w:rPr>
                <w:szCs w:val="28"/>
              </w:rPr>
              <w:t>любые физические, юридические лица, в том числе иностранные граждане, лица без гражданства, заинтересованные</w:t>
            </w:r>
            <w:r w:rsidR="005A71AE">
              <w:rPr>
                <w:szCs w:val="28"/>
              </w:rPr>
              <w:t xml:space="preserve"> </w:t>
            </w:r>
            <w:r w:rsidR="005A71AE" w:rsidRPr="000F576F">
              <w:rPr>
                <w:szCs w:val="28"/>
              </w:rPr>
              <w:t>в предоставлении государственной услуги</w:t>
            </w:r>
          </w:p>
        </w:tc>
        <w:tc>
          <w:tcPr>
            <w:tcW w:w="4802" w:type="dxa"/>
            <w:gridSpan w:val="5"/>
          </w:tcPr>
          <w:p w:rsidR="000E2FC5" w:rsidRPr="00841C09" w:rsidRDefault="000E2FC5" w:rsidP="005A71AE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0E2FC5" w:rsidRPr="00672E69" w:rsidRDefault="000D1520" w:rsidP="00672E69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 не связанно с введением административного регулирования, прогнозируется на прежнем уровне</w:t>
            </w:r>
            <w:r w:rsidR="00672E69">
              <w:rPr>
                <w:szCs w:val="28"/>
              </w:rPr>
              <w:t xml:space="preserve"> </w:t>
            </w:r>
            <w:r w:rsidR="00672E69" w:rsidRPr="00672E69">
              <w:rPr>
                <w:szCs w:val="28"/>
              </w:rPr>
              <w:t>~</w:t>
            </w:r>
            <w:r w:rsidR="00672E69">
              <w:rPr>
                <w:szCs w:val="28"/>
              </w:rPr>
              <w:t xml:space="preserve"> </w:t>
            </w:r>
            <w:r w:rsidR="004A22B4">
              <w:rPr>
                <w:szCs w:val="28"/>
              </w:rPr>
              <w:t>800.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  <w:r w:rsidR="00E91C78">
              <w:rPr>
                <w:szCs w:val="28"/>
              </w:rPr>
              <w:t>по количеству лиц, обратившихся в предыдущих годах с заявлением о предоставлении земельных участков.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7E70DC" w:rsidRDefault="00E91C78" w:rsidP="00A06B8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Функция и полномочие Министерства по управлению государственным имуществом Свердловской области по предоставлению земельных участков не изменялась. </w:t>
            </w:r>
            <w:r w:rsidR="00A64E0E">
              <w:rPr>
                <w:rFonts w:eastAsiaTheme="minorHAnsi"/>
                <w:szCs w:val="28"/>
                <w:lang w:eastAsia="en-US"/>
              </w:rPr>
              <w:t xml:space="preserve">Административным регламентом предусмотрено взаимодействие с МФЦ, что позволит оптимизировать предоставление государственной услуги, предоставит возможность заявителям обращаться с заявлением о предоставлении государственной услуги территориально по месту жительства (пребывания). С МФЦ планируется работа в форме консультаций, представления схем предоставления государственной услуги. Соглашение о предоставлении услуги с МФЦ предусмотрено. </w:t>
            </w:r>
          </w:p>
        </w:tc>
        <w:tc>
          <w:tcPr>
            <w:tcW w:w="3567" w:type="dxa"/>
            <w:gridSpan w:val="5"/>
          </w:tcPr>
          <w:p w:rsidR="000E2FC5" w:rsidRPr="00841C09" w:rsidRDefault="004A22B4" w:rsidP="00A64E0E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соответствии с принимаемыми </w:t>
            </w:r>
            <w:r w:rsidR="00A06B8A">
              <w:rPr>
                <w:szCs w:val="28"/>
              </w:rPr>
              <w:t xml:space="preserve">административными </w:t>
            </w:r>
            <w:r>
              <w:rPr>
                <w:szCs w:val="28"/>
              </w:rPr>
              <w:t>регламентами</w:t>
            </w:r>
          </w:p>
        </w:tc>
        <w:tc>
          <w:tcPr>
            <w:tcW w:w="3201" w:type="dxa"/>
            <w:gridSpan w:val="3"/>
          </w:tcPr>
          <w:p w:rsidR="000E2FC5" w:rsidRPr="00841C09" w:rsidRDefault="00A64E0E" w:rsidP="00A64E0E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Не потребуется дополнительного у</w:t>
            </w:r>
            <w:r w:rsidR="000E2FC5" w:rsidRPr="00841C09">
              <w:rPr>
                <w:szCs w:val="28"/>
              </w:rPr>
              <w:t>величени</w:t>
            </w:r>
            <w:r>
              <w:rPr>
                <w:szCs w:val="28"/>
              </w:rPr>
              <w:t xml:space="preserve">я </w:t>
            </w:r>
            <w:r w:rsidR="000E2FC5" w:rsidRPr="00841C09">
              <w:rPr>
                <w:szCs w:val="28"/>
              </w:rPr>
              <w:t>трудозатрат и иных ресурсов</w:t>
            </w:r>
            <w:r>
              <w:rPr>
                <w:szCs w:val="28"/>
              </w:rPr>
              <w:t>. Осуществляется в рамках затрат на текущую деятельность.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5A71AE" w:rsidP="00A64E0E">
            <w:pPr>
              <w:pStyle w:val="a6"/>
              <w:rPr>
                <w:szCs w:val="28"/>
              </w:rPr>
            </w:pPr>
            <w:r w:rsidRPr="000F576F">
              <w:rPr>
                <w:szCs w:val="28"/>
              </w:rPr>
              <w:t xml:space="preserve">любые физические, юридические лица, в том числе иностранные граждане, лица без гражданства, заинтересованные </w:t>
            </w:r>
            <w:r>
              <w:rPr>
                <w:szCs w:val="28"/>
              </w:rPr>
              <w:br/>
            </w:r>
            <w:r w:rsidRPr="000F576F">
              <w:rPr>
                <w:szCs w:val="28"/>
              </w:rPr>
              <w:t>в предоставлении государственной услуги</w:t>
            </w:r>
          </w:p>
        </w:tc>
        <w:tc>
          <w:tcPr>
            <w:tcW w:w="3567" w:type="dxa"/>
            <w:gridSpan w:val="5"/>
          </w:tcPr>
          <w:p w:rsidR="000E2FC5" w:rsidRPr="00841C09" w:rsidRDefault="004A22B4" w:rsidP="00EE12EF">
            <w:pPr>
              <w:pStyle w:val="a6"/>
              <w:rPr>
                <w:szCs w:val="28"/>
              </w:rPr>
            </w:pPr>
            <w:bookmarkStart w:id="0" w:name="_GoBack"/>
            <w:r w:rsidRPr="004A22B4">
              <w:rPr>
                <w:szCs w:val="28"/>
              </w:rPr>
              <w:t>подача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  <w:bookmarkEnd w:id="0"/>
            <w:r w:rsidR="000E2FC5"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  <w:tc>
          <w:tcPr>
            <w:tcW w:w="3201" w:type="dxa"/>
            <w:gridSpan w:val="3"/>
          </w:tcPr>
          <w:p w:rsidR="000E2FC5" w:rsidRPr="00841C09" w:rsidRDefault="000E2FC5" w:rsidP="005A71AE">
            <w:pPr>
              <w:pStyle w:val="a6"/>
              <w:jc w:val="both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>Установлен</w:t>
            </w:r>
            <w:proofErr w:type="gramEnd"/>
            <w:r w:rsidRPr="00841C09">
              <w:rPr>
                <w:szCs w:val="28"/>
              </w:rPr>
              <w:t xml:space="preserve"> </w:t>
            </w:r>
            <w:r w:rsidR="00A64E0E">
              <w:rPr>
                <w:szCs w:val="28"/>
              </w:rPr>
              <w:t>Земельным</w:t>
            </w:r>
            <w:r>
              <w:rPr>
                <w:szCs w:val="28"/>
              </w:rPr>
              <w:t xml:space="preserve"> кодексом</w:t>
            </w:r>
            <w:r w:rsidRPr="00841C09">
              <w:rPr>
                <w:szCs w:val="28"/>
              </w:rPr>
              <w:t xml:space="preserve"> Российской Федерации</w:t>
            </w:r>
            <w:r w:rsidR="00A64E0E">
              <w:rPr>
                <w:szCs w:val="28"/>
              </w:rPr>
              <w:t>, Гражданским кодексом</w:t>
            </w:r>
            <w:r w:rsidR="00A64E0E" w:rsidRPr="00841C09">
              <w:rPr>
                <w:szCs w:val="28"/>
              </w:rPr>
              <w:t xml:space="preserve"> Российской Федерации</w:t>
            </w:r>
            <w:r w:rsidR="00A64E0E">
              <w:rPr>
                <w:szCs w:val="28"/>
              </w:rPr>
              <w:t>,</w:t>
            </w:r>
            <w:r w:rsidR="00A64E0E" w:rsidRPr="00CB751F">
              <w:rPr>
                <w:szCs w:val="28"/>
              </w:rPr>
              <w:t xml:space="preserve"> </w:t>
            </w:r>
            <w:r w:rsidR="005A71AE">
              <w:rPr>
                <w:szCs w:val="28"/>
              </w:rPr>
              <w:t>ф</w:t>
            </w:r>
            <w:r w:rsidR="00A64E0E" w:rsidRPr="00CB751F">
              <w:rPr>
                <w:szCs w:val="28"/>
              </w:rPr>
              <w:t>едеральны</w:t>
            </w:r>
            <w:r w:rsidR="00A64E0E">
              <w:rPr>
                <w:szCs w:val="28"/>
              </w:rPr>
              <w:t>м</w:t>
            </w:r>
            <w:r w:rsidR="005A71AE">
              <w:rPr>
                <w:szCs w:val="28"/>
              </w:rPr>
              <w:t>и</w:t>
            </w:r>
            <w:r w:rsidR="00A64E0E" w:rsidRPr="00CB751F">
              <w:rPr>
                <w:szCs w:val="28"/>
              </w:rPr>
              <w:t xml:space="preserve"> закон</w:t>
            </w:r>
            <w:r w:rsidR="005A71AE">
              <w:rPr>
                <w:szCs w:val="28"/>
              </w:rPr>
              <w:t>ами</w:t>
            </w:r>
            <w:r w:rsidR="00A64E0E" w:rsidRPr="00CB751F">
              <w:rPr>
                <w:szCs w:val="28"/>
              </w:rPr>
              <w:t xml:space="preserve"> </w:t>
            </w:r>
            <w:r w:rsidR="005A71AE" w:rsidRPr="005A71AE">
              <w:rPr>
                <w:szCs w:val="28"/>
              </w:rPr>
              <w:t>от 28</w:t>
            </w:r>
            <w:r w:rsidR="005A71AE">
              <w:rPr>
                <w:szCs w:val="28"/>
              </w:rPr>
              <w:t xml:space="preserve"> декабря </w:t>
            </w:r>
            <w:r w:rsidR="005A71AE" w:rsidRPr="005A71AE">
              <w:rPr>
                <w:szCs w:val="28"/>
              </w:rPr>
              <w:t xml:space="preserve">2009 </w:t>
            </w:r>
            <w:r w:rsidR="005A71AE">
              <w:rPr>
                <w:szCs w:val="28"/>
              </w:rPr>
              <w:t>года № 381-ФЗ «</w:t>
            </w:r>
            <w:r w:rsidR="005A71AE" w:rsidRPr="005A71AE">
              <w:rPr>
                <w:szCs w:val="28"/>
              </w:rPr>
              <w:t>Об основах государственного регулирования торговой деятельности в Российской Федерации</w:t>
            </w:r>
            <w:r w:rsidR="005A71AE">
              <w:rPr>
                <w:szCs w:val="28"/>
              </w:rPr>
              <w:t xml:space="preserve">» и </w:t>
            </w:r>
            <w:r w:rsidR="005A71AE" w:rsidRPr="005A71AE">
              <w:rPr>
                <w:szCs w:val="28"/>
              </w:rPr>
              <w:t>от 13</w:t>
            </w:r>
            <w:r w:rsidR="005A71AE">
              <w:rPr>
                <w:szCs w:val="28"/>
              </w:rPr>
              <w:t xml:space="preserve"> марта </w:t>
            </w:r>
            <w:r w:rsidR="005A71AE" w:rsidRPr="005A71AE">
              <w:rPr>
                <w:szCs w:val="28"/>
              </w:rPr>
              <w:t xml:space="preserve">2006 </w:t>
            </w:r>
            <w:r w:rsidR="005A71AE">
              <w:rPr>
                <w:szCs w:val="28"/>
              </w:rPr>
              <w:t>года № 38-ФЗ «</w:t>
            </w:r>
            <w:r w:rsidR="005A71AE" w:rsidRPr="005A71AE">
              <w:rPr>
                <w:szCs w:val="28"/>
              </w:rPr>
              <w:t>О рекламе</w:t>
            </w:r>
            <w:r w:rsidR="005A71AE">
              <w:rPr>
                <w:szCs w:val="28"/>
              </w:rPr>
              <w:t>»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5A71AE" w:rsidP="00A64E0E">
            <w:pPr>
              <w:pStyle w:val="a6"/>
              <w:rPr>
                <w:szCs w:val="28"/>
              </w:rPr>
            </w:pPr>
            <w:r w:rsidRPr="000F576F">
              <w:rPr>
                <w:szCs w:val="28"/>
              </w:rPr>
              <w:t xml:space="preserve">любые физические, юридические лица, в том числе иностранные граждане, лица без гражданства, заинтересованные </w:t>
            </w:r>
            <w:r>
              <w:rPr>
                <w:szCs w:val="28"/>
              </w:rPr>
              <w:br/>
            </w:r>
            <w:r w:rsidRPr="000F576F">
              <w:rPr>
                <w:szCs w:val="28"/>
              </w:rPr>
              <w:t>в предоставлении государственной услуги</w:t>
            </w:r>
          </w:p>
        </w:tc>
        <w:tc>
          <w:tcPr>
            <w:tcW w:w="3567" w:type="dxa"/>
            <w:gridSpan w:val="5"/>
          </w:tcPr>
          <w:p w:rsidR="004A22B4" w:rsidRPr="00841C09" w:rsidRDefault="004A22B4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A22B4">
              <w:rPr>
                <w:szCs w:val="28"/>
              </w:rPr>
              <w:t>одача заявления и необходимого пакета</w:t>
            </w:r>
            <w:r>
              <w:rPr>
                <w:szCs w:val="28"/>
              </w:rPr>
              <w:t xml:space="preserve"> документов</w:t>
            </w:r>
            <w:r w:rsidRPr="004A22B4">
              <w:rPr>
                <w:szCs w:val="28"/>
              </w:rPr>
              <w:t xml:space="preserve"> в соответствии с положениями принимаемого регламента</w:t>
            </w:r>
          </w:p>
        </w:tc>
        <w:tc>
          <w:tcPr>
            <w:tcW w:w="3201" w:type="dxa"/>
            <w:gridSpan w:val="3"/>
          </w:tcPr>
          <w:p w:rsidR="004A22B4" w:rsidRDefault="004A22B4" w:rsidP="004A22B4">
            <w:pPr>
              <w:rPr>
                <w:szCs w:val="28"/>
              </w:rPr>
            </w:pPr>
            <w:r>
              <w:rPr>
                <w:szCs w:val="28"/>
              </w:rPr>
              <w:t xml:space="preserve">Изменение расходов заявителей не прогнозируется. </w:t>
            </w:r>
          </w:p>
          <w:p w:rsidR="00260D0D" w:rsidRPr="00841C09" w:rsidRDefault="004A22B4" w:rsidP="000B594F">
            <w:pPr>
              <w:rPr>
                <w:szCs w:val="28"/>
              </w:rPr>
            </w:pPr>
            <w:r>
              <w:rPr>
                <w:szCs w:val="28"/>
              </w:rPr>
              <w:t xml:space="preserve">Выгоды для заявителей будут следующими - </w:t>
            </w:r>
            <w:r w:rsidRPr="0034208F">
              <w:rPr>
                <w:szCs w:val="28"/>
              </w:rPr>
              <w:t>устан</w:t>
            </w:r>
            <w:r>
              <w:rPr>
                <w:szCs w:val="28"/>
              </w:rPr>
              <w:t>овление</w:t>
            </w:r>
            <w:r w:rsidRPr="0034208F">
              <w:rPr>
                <w:szCs w:val="28"/>
              </w:rPr>
              <w:t xml:space="preserve"> прозрачной схемы</w:t>
            </w:r>
            <w:r>
              <w:rPr>
                <w:szCs w:val="28"/>
              </w:rPr>
              <w:t xml:space="preserve"> </w:t>
            </w:r>
            <w:r w:rsidRPr="0034208F">
              <w:rPr>
                <w:szCs w:val="28"/>
              </w:rPr>
              <w:t>и дет</w:t>
            </w:r>
            <w:r>
              <w:rPr>
                <w:szCs w:val="28"/>
              </w:rPr>
              <w:t xml:space="preserve">альной регламентации </w:t>
            </w:r>
            <w:r w:rsidRPr="0034208F">
              <w:rPr>
                <w:szCs w:val="28"/>
              </w:rPr>
              <w:t>процедуры</w:t>
            </w:r>
            <w:r>
              <w:rPr>
                <w:szCs w:val="28"/>
              </w:rPr>
              <w:t xml:space="preserve"> осуществления проверочных мероприятий, </w:t>
            </w:r>
            <w:r w:rsidRPr="0034208F">
              <w:rPr>
                <w:szCs w:val="28"/>
              </w:rPr>
              <w:t xml:space="preserve">снижение </w:t>
            </w:r>
            <w:r>
              <w:rPr>
                <w:szCs w:val="28"/>
              </w:rPr>
              <w:t xml:space="preserve">административных </w:t>
            </w:r>
            <w:r w:rsidRPr="0034208F">
              <w:rPr>
                <w:szCs w:val="28"/>
              </w:rPr>
              <w:t xml:space="preserve">барьеров, </w:t>
            </w:r>
            <w:r>
              <w:rPr>
                <w:szCs w:val="28"/>
              </w:rPr>
              <w:t xml:space="preserve">снижение </w:t>
            </w:r>
            <w:r w:rsidRPr="0034208F">
              <w:rPr>
                <w:szCs w:val="28"/>
              </w:rPr>
              <w:t>коррупц</w:t>
            </w:r>
            <w:r>
              <w:rPr>
                <w:szCs w:val="28"/>
              </w:rPr>
              <w:t>ионных</w:t>
            </w:r>
            <w:r w:rsidRPr="0034208F">
              <w:rPr>
                <w:szCs w:val="28"/>
              </w:rPr>
              <w:t xml:space="preserve"> риск</w:t>
            </w:r>
            <w:r>
              <w:rPr>
                <w:szCs w:val="28"/>
              </w:rPr>
              <w:t>ов</w:t>
            </w:r>
            <w:r w:rsidRPr="0034208F">
              <w:rPr>
                <w:szCs w:val="28"/>
              </w:rPr>
              <w:t>, снижение канц</w:t>
            </w:r>
            <w:r>
              <w:rPr>
                <w:szCs w:val="28"/>
              </w:rPr>
              <w:t>елярских</w:t>
            </w:r>
            <w:r w:rsidR="000B594F">
              <w:rPr>
                <w:szCs w:val="28"/>
              </w:rPr>
              <w:t xml:space="preserve">, </w:t>
            </w:r>
            <w:r w:rsidRPr="0034208F">
              <w:rPr>
                <w:szCs w:val="28"/>
              </w:rPr>
              <w:t xml:space="preserve"> </w:t>
            </w:r>
            <w:r w:rsidR="000B594F">
              <w:rPr>
                <w:szCs w:val="28"/>
              </w:rPr>
              <w:t>транспортных и временных расходов при обращении в филиал МФЦ по месту жительства.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низкая, поскольку </w:t>
            </w:r>
            <w:r>
              <w:rPr>
                <w:szCs w:val="28"/>
              </w:rPr>
              <w:t xml:space="preserve">регламентация административных процедур на территории Свердловской области во исполнение положений федеральных нормативных правовых актов </w:t>
            </w:r>
            <w:r w:rsidRPr="00841C09">
              <w:rPr>
                <w:szCs w:val="28"/>
              </w:rPr>
              <w:t>в целом, на конкурентную среду в р</w:t>
            </w:r>
            <w:r>
              <w:rPr>
                <w:szCs w:val="28"/>
              </w:rPr>
              <w:t>егионе не повлияе</w:t>
            </w:r>
            <w:r w:rsidRPr="00841C09">
              <w:rPr>
                <w:szCs w:val="28"/>
              </w:rPr>
              <w:t>т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B35C81">
              <w:rPr>
                <w:b/>
                <w:szCs w:val="28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13.3. Методы </w:t>
            </w:r>
            <w:proofErr w:type="gramStart"/>
            <w:r w:rsidRPr="00841C09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841C09">
              <w:rPr>
                <w:szCs w:val="28"/>
              </w:rPr>
              <w:t>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proofErr w:type="gramStart"/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</w:t>
            </w:r>
            <w:proofErr w:type="spellStart"/>
            <w:r w:rsidRPr="00841C09">
              <w:rPr>
                <w:szCs w:val="28"/>
              </w:rPr>
              <w:t>интернет-портале</w:t>
            </w:r>
            <w:proofErr w:type="spellEnd"/>
            <w:r w:rsidRPr="00841C09">
              <w:rPr>
                <w:szCs w:val="28"/>
              </w:rPr>
              <w:t xml:space="preserve"> правовой информации Свердловской области» (www.pravo.gov66.ru), на официальном сайте </w:t>
            </w:r>
            <w:r w:rsidR="006B12D6">
              <w:rPr>
                <w:szCs w:val="28"/>
              </w:rPr>
              <w:t>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6B12D6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6B12D6">
              <w:rPr>
                <w:szCs w:val="28"/>
              </w:rPr>
              <w:t>март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proofErr w:type="gramStart"/>
            <w:r w:rsidRPr="00841C09">
              <w:rPr>
                <w:szCs w:val="28"/>
              </w:rPr>
              <w:t>/Д</w:t>
            </w:r>
            <w:proofErr w:type="gramEnd"/>
            <w:r w:rsidRPr="00841C09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___________________________________________________________________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(место для текстового описания)</w:t>
            </w: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/>
    <w:sectPr w:rsidR="005C5964" w:rsidSect="00CE52CD">
      <w:head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FE" w:rsidRDefault="00E70FFE">
      <w:r>
        <w:separator/>
      </w:r>
    </w:p>
  </w:endnote>
  <w:endnote w:type="continuationSeparator" w:id="0">
    <w:p w:rsidR="00E70FFE" w:rsidRDefault="00E70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FE" w:rsidRDefault="00E70FFE">
      <w:r>
        <w:separator/>
      </w:r>
    </w:p>
  </w:footnote>
  <w:footnote w:type="continuationSeparator" w:id="0">
    <w:p w:rsidR="00E70FFE" w:rsidRDefault="00E70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129"/>
      <w:docPartObj>
        <w:docPartGallery w:val="Page Numbers (Top of Page)"/>
        <w:docPartUnique/>
      </w:docPartObj>
    </w:sdtPr>
    <w:sdtContent>
      <w:p w:rsidR="005E54B0" w:rsidRDefault="00F30F9B">
        <w:pPr>
          <w:pStyle w:val="a3"/>
          <w:jc w:val="center"/>
        </w:pPr>
        <w:r>
          <w:fldChar w:fldCharType="begin"/>
        </w:r>
        <w:r w:rsidR="00A56FC3">
          <w:instrText xml:space="preserve"> PAGE   \* MERGEFORMAT </w:instrText>
        </w:r>
        <w:r>
          <w:fldChar w:fldCharType="separate"/>
        </w:r>
        <w:r w:rsidR="000B59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54B0" w:rsidRDefault="000B59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C5"/>
    <w:rsid w:val="0001707C"/>
    <w:rsid w:val="000A39AE"/>
    <w:rsid w:val="000B594F"/>
    <w:rsid w:val="000D1520"/>
    <w:rsid w:val="000E2FC5"/>
    <w:rsid w:val="00193289"/>
    <w:rsid w:val="001E6E75"/>
    <w:rsid w:val="002406B5"/>
    <w:rsid w:val="00260975"/>
    <w:rsid w:val="00260D0D"/>
    <w:rsid w:val="004A22B4"/>
    <w:rsid w:val="005A71AE"/>
    <w:rsid w:val="005C5964"/>
    <w:rsid w:val="00672E69"/>
    <w:rsid w:val="006B12D6"/>
    <w:rsid w:val="007411A0"/>
    <w:rsid w:val="00923222"/>
    <w:rsid w:val="00937D68"/>
    <w:rsid w:val="00A06B8A"/>
    <w:rsid w:val="00A56FC3"/>
    <w:rsid w:val="00A64E0E"/>
    <w:rsid w:val="00AB6BC7"/>
    <w:rsid w:val="00B048F9"/>
    <w:rsid w:val="00B76882"/>
    <w:rsid w:val="00C17ABD"/>
    <w:rsid w:val="00CA1775"/>
    <w:rsid w:val="00CB751F"/>
    <w:rsid w:val="00E70FFE"/>
    <w:rsid w:val="00E91C78"/>
    <w:rsid w:val="00F3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5AA4CC8DD65B7453672EF66C638A427C5502EBCBC142A597FADF772F9802C1E72227C013DDC3Ac7fBD" TargetMode="External"/><Relationship Id="rId13" Type="http://schemas.openxmlformats.org/officeDocument/2006/relationships/hyperlink" Target="consultantplus://offline/ref=F605AA4CC8DD65B7453672EF66C638A427C45426BBB5142A597FADF772F9802C1E72227C013DD838c7f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denisova@egov66.ru" TargetMode="External"/><Relationship Id="rId12" Type="http://schemas.openxmlformats.org/officeDocument/2006/relationships/hyperlink" Target="consultantplus://offline/ref=F605AA4CC8DD65B7453672EF66C638A427C4562EBFB9142A597FADF772F9802C1E72227C013DDB3Ac7f0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05AA4CC8DD65B7453672EF66C638A427C4552EB6B5142A597FADF772F9802C1E72227C013DDC3Ac7f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05AA4CC8DD65B7453672EF66C638A427C55327BDB8142A597FADF772F9802C1E72227C013DDC3Ac7fB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05AA4CC8DD65B7453672EF66C638A427C45426B9B4142A597FADF772F9802C1E72227C013DDC3Ac7fBD" TargetMode="External"/><Relationship Id="rId10" Type="http://schemas.openxmlformats.org/officeDocument/2006/relationships/hyperlink" Target="consultantplus://offline/ref=F605AA4CC8DD65B7453672EF66C638A427C55327BBBA142A597FADF772F9802C1E72227C013DDD33c7f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05AA4CC8DD65B7453672EF66C638A427C55327BEBC142A597FADF772F9802C1E72227C013DDE3Fc7f3D" TargetMode="External"/><Relationship Id="rId14" Type="http://schemas.openxmlformats.org/officeDocument/2006/relationships/hyperlink" Target="consultantplus://offline/ref=F605AA4CC8DD65B7453672EF66C638A427C45426BBBA142A597FADF772F9802C1E72227C013DDC3Bc7f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eliseeva</cp:lastModifiedBy>
  <cp:revision>6</cp:revision>
  <dcterms:created xsi:type="dcterms:W3CDTF">2015-01-30T04:00:00Z</dcterms:created>
  <dcterms:modified xsi:type="dcterms:W3CDTF">2015-01-30T06:05:00Z</dcterms:modified>
</cp:coreProperties>
</file>